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5F55B" w14:textId="1E66A863" w:rsidR="00D80AEA" w:rsidRDefault="00480D11" w:rsidP="007D3245">
      <w:pPr>
        <w:tabs>
          <w:tab w:val="left" w:pos="1440"/>
        </w:tabs>
        <w:rPr>
          <w:b/>
          <w:sz w:val="21"/>
          <w:szCs w:val="21"/>
        </w:rPr>
      </w:pPr>
      <w:r w:rsidRPr="00480D11">
        <w:rPr>
          <w:b/>
          <w:noProof/>
          <w:sz w:val="21"/>
          <w:szCs w:val="21"/>
        </w:rPr>
        <w:drawing>
          <wp:anchor distT="0" distB="0" distL="114300" distR="114300" simplePos="0" relativeHeight="251659776" behindDoc="0" locked="0" layoutInCell="1" allowOverlap="1" wp14:anchorId="11529B22" wp14:editId="531A00E6">
            <wp:simplePos x="0" y="0"/>
            <wp:positionH relativeFrom="margin">
              <wp:posOffset>-70815</wp:posOffset>
            </wp:positionH>
            <wp:positionV relativeFrom="margin">
              <wp:posOffset>-90221</wp:posOffset>
            </wp:positionV>
            <wp:extent cx="1482725" cy="7823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Safety-Scor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2725" cy="782320"/>
                    </a:xfrm>
                    <a:prstGeom prst="rect">
                      <a:avLst/>
                    </a:prstGeom>
                  </pic:spPr>
                </pic:pic>
              </a:graphicData>
            </a:graphic>
            <wp14:sizeRelH relativeFrom="margin">
              <wp14:pctWidth>0</wp14:pctWidth>
            </wp14:sizeRelH>
          </wp:anchor>
        </w:drawing>
      </w:r>
      <w:r w:rsidR="00D94896" w:rsidRPr="00480D11">
        <w:rPr>
          <w:noProof/>
          <w:sz w:val="21"/>
          <w:szCs w:val="21"/>
        </w:rPr>
        <w:drawing>
          <wp:anchor distT="0" distB="0" distL="114300" distR="114300" simplePos="0" relativeHeight="251656704" behindDoc="0" locked="0" layoutInCell="1" allowOverlap="1" wp14:anchorId="53B63EA8" wp14:editId="118E8FCC">
            <wp:simplePos x="0" y="0"/>
            <wp:positionH relativeFrom="column">
              <wp:posOffset>4214495</wp:posOffset>
            </wp:positionH>
            <wp:positionV relativeFrom="paragraph">
              <wp:posOffset>-342900</wp:posOffset>
            </wp:positionV>
            <wp:extent cx="2016125" cy="597535"/>
            <wp:effectExtent l="0" t="0" r="317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frog Logo_NoTa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6125" cy="597535"/>
                    </a:xfrm>
                    <a:prstGeom prst="rect">
                      <a:avLst/>
                    </a:prstGeom>
                  </pic:spPr>
                </pic:pic>
              </a:graphicData>
            </a:graphic>
            <wp14:sizeRelV relativeFrom="margin">
              <wp14:pctHeight>0</wp14:pctHeight>
            </wp14:sizeRelV>
          </wp:anchor>
        </w:drawing>
      </w:r>
    </w:p>
    <w:p w14:paraId="6356909D" w14:textId="77777777" w:rsidR="007D3245" w:rsidRPr="00480D11" w:rsidRDefault="007D3245" w:rsidP="007D3245">
      <w:pPr>
        <w:tabs>
          <w:tab w:val="left" w:pos="1440"/>
        </w:tabs>
        <w:rPr>
          <w:b/>
          <w:sz w:val="21"/>
          <w:szCs w:val="21"/>
        </w:rPr>
      </w:pPr>
    </w:p>
    <w:p w14:paraId="2D625237" w14:textId="77777777" w:rsidR="00FC3713" w:rsidRPr="00480D11" w:rsidRDefault="00FC3713" w:rsidP="00FC3713">
      <w:pPr>
        <w:spacing w:after="0"/>
        <w:jc w:val="center"/>
        <w:rPr>
          <w:b/>
          <w:sz w:val="28"/>
          <w:szCs w:val="28"/>
        </w:rPr>
      </w:pPr>
    </w:p>
    <w:p w14:paraId="2FF8DDA0" w14:textId="77777777" w:rsidR="00D80AEA" w:rsidRPr="00480D11" w:rsidRDefault="009361BE" w:rsidP="00FC3713">
      <w:pPr>
        <w:spacing w:after="0"/>
        <w:jc w:val="center"/>
        <w:rPr>
          <w:b/>
          <w:sz w:val="28"/>
          <w:szCs w:val="28"/>
        </w:rPr>
      </w:pPr>
      <w:r w:rsidRPr="00480D11">
        <w:rPr>
          <w:b/>
          <w:sz w:val="28"/>
          <w:szCs w:val="28"/>
        </w:rPr>
        <w:t>PURCHASER</w:t>
      </w:r>
      <w:r w:rsidR="00D80AEA" w:rsidRPr="00480D11">
        <w:rPr>
          <w:b/>
          <w:sz w:val="28"/>
          <w:szCs w:val="28"/>
        </w:rPr>
        <w:t xml:space="preserve"> TOOLKIT</w:t>
      </w:r>
    </w:p>
    <w:p w14:paraId="795B0E33" w14:textId="77777777" w:rsidR="00D80AEA" w:rsidRPr="00480D11" w:rsidRDefault="0071709A" w:rsidP="00FC3713">
      <w:pPr>
        <w:spacing w:after="0"/>
        <w:jc w:val="center"/>
        <w:rPr>
          <w:sz w:val="28"/>
          <w:szCs w:val="28"/>
        </w:rPr>
      </w:pPr>
      <w:r w:rsidRPr="00480D11">
        <w:rPr>
          <w:b/>
          <w:i/>
          <w:sz w:val="28"/>
          <w:szCs w:val="28"/>
        </w:rPr>
        <w:t>Key Talking Points on the</w:t>
      </w:r>
      <w:r w:rsidR="00480D11">
        <w:rPr>
          <w:b/>
          <w:i/>
          <w:sz w:val="28"/>
          <w:szCs w:val="28"/>
        </w:rPr>
        <w:t xml:space="preserve"> Leapfrog</w:t>
      </w:r>
      <w:r w:rsidRPr="00480D11">
        <w:rPr>
          <w:b/>
          <w:i/>
          <w:sz w:val="28"/>
          <w:szCs w:val="28"/>
        </w:rPr>
        <w:t xml:space="preserve"> Hospital Safety </w:t>
      </w:r>
      <w:r w:rsidR="00480D11">
        <w:rPr>
          <w:b/>
          <w:i/>
          <w:sz w:val="28"/>
          <w:szCs w:val="28"/>
        </w:rPr>
        <w:t>Grade</w:t>
      </w:r>
      <w:r w:rsidR="00E36059" w:rsidRPr="00480D11">
        <w:rPr>
          <w:sz w:val="28"/>
          <w:szCs w:val="28"/>
        </w:rPr>
        <w:t xml:space="preserve"> </w:t>
      </w:r>
    </w:p>
    <w:p w14:paraId="353CBAE1" w14:textId="77777777" w:rsidR="00487793" w:rsidRPr="00480D11" w:rsidRDefault="00D80AEA" w:rsidP="00FC3713">
      <w:pPr>
        <w:spacing w:after="0"/>
        <w:jc w:val="center"/>
        <w:rPr>
          <w:b/>
          <w:i/>
          <w:sz w:val="21"/>
          <w:szCs w:val="21"/>
        </w:rPr>
      </w:pPr>
      <w:r w:rsidRPr="00480D11">
        <w:rPr>
          <w:b/>
          <w:noProof/>
          <w:color w:val="FF0000"/>
          <w:sz w:val="21"/>
          <w:szCs w:val="21"/>
        </w:rPr>
        <w:drawing>
          <wp:anchor distT="36576" distB="36576" distL="36576" distR="36576" simplePos="0" relativeHeight="251660800" behindDoc="0" locked="0" layoutInCell="1" allowOverlap="1" wp14:anchorId="252F33A4" wp14:editId="1EDCECB4">
            <wp:simplePos x="0" y="0"/>
            <wp:positionH relativeFrom="column">
              <wp:posOffset>8458200</wp:posOffset>
            </wp:positionH>
            <wp:positionV relativeFrom="paragraph">
              <wp:posOffset>-76200</wp:posOffset>
            </wp:positionV>
            <wp:extent cx="1441450" cy="3676015"/>
            <wp:effectExtent l="19050" t="0" r="6350" b="0"/>
            <wp:wrapNone/>
            <wp:docPr id="2" name="Picture 4" descr="Logo Revisions 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evisions V7"/>
                    <pic:cNvPicPr>
                      <a:picLocks noChangeAspect="1" noChangeArrowheads="1"/>
                    </pic:cNvPicPr>
                  </pic:nvPicPr>
                  <pic:blipFill>
                    <a:blip r:embed="rId10" cstate="print"/>
                    <a:srcRect/>
                    <a:stretch>
                      <a:fillRect/>
                    </a:stretch>
                  </pic:blipFill>
                  <pic:spPr bwMode="auto">
                    <a:xfrm>
                      <a:off x="0" y="0"/>
                      <a:ext cx="1441450" cy="3676015"/>
                    </a:xfrm>
                    <a:prstGeom prst="rect">
                      <a:avLst/>
                    </a:prstGeom>
                    <a:noFill/>
                    <a:ln w="9525" algn="in">
                      <a:noFill/>
                      <a:miter lim="800000"/>
                      <a:headEnd/>
                      <a:tailEnd/>
                    </a:ln>
                    <a:effectLst/>
                  </pic:spPr>
                </pic:pic>
              </a:graphicData>
            </a:graphic>
          </wp:anchor>
        </w:drawing>
      </w:r>
      <w:r w:rsidR="00E36059" w:rsidRPr="00480D11">
        <w:rPr>
          <w:noProof/>
          <w:sz w:val="21"/>
          <w:szCs w:val="21"/>
        </w:rPr>
        <w:drawing>
          <wp:anchor distT="36576" distB="36576" distL="36576" distR="36576" simplePos="0" relativeHeight="251655680" behindDoc="0" locked="0" layoutInCell="1" allowOverlap="1" wp14:anchorId="1C716BDE" wp14:editId="4643D926">
            <wp:simplePos x="0" y="0"/>
            <wp:positionH relativeFrom="column">
              <wp:posOffset>8458200</wp:posOffset>
            </wp:positionH>
            <wp:positionV relativeFrom="paragraph">
              <wp:posOffset>-76200</wp:posOffset>
            </wp:positionV>
            <wp:extent cx="1441450" cy="3676015"/>
            <wp:effectExtent l="19050" t="0" r="6350" b="0"/>
            <wp:wrapNone/>
            <wp:docPr id="8" name="Picture 4" descr="Logo Revisions 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evisions V7"/>
                    <pic:cNvPicPr>
                      <a:picLocks noChangeAspect="1" noChangeArrowheads="1"/>
                    </pic:cNvPicPr>
                  </pic:nvPicPr>
                  <pic:blipFill>
                    <a:blip r:embed="rId10" cstate="print"/>
                    <a:srcRect/>
                    <a:stretch>
                      <a:fillRect/>
                    </a:stretch>
                  </pic:blipFill>
                  <pic:spPr bwMode="auto">
                    <a:xfrm>
                      <a:off x="0" y="0"/>
                      <a:ext cx="1441450" cy="3676015"/>
                    </a:xfrm>
                    <a:prstGeom prst="rect">
                      <a:avLst/>
                    </a:prstGeom>
                    <a:noFill/>
                    <a:ln w="9525" algn="in">
                      <a:noFill/>
                      <a:miter lim="800000"/>
                      <a:headEnd/>
                      <a:tailEnd/>
                    </a:ln>
                    <a:effectLst/>
                  </pic:spPr>
                </pic:pic>
              </a:graphicData>
            </a:graphic>
          </wp:anchor>
        </w:drawing>
      </w:r>
    </w:p>
    <w:p w14:paraId="75DA296B" w14:textId="77777777" w:rsidR="00717C9B" w:rsidRPr="00480D11" w:rsidRDefault="00717C9B" w:rsidP="00FC3713">
      <w:pPr>
        <w:spacing w:after="0"/>
        <w:rPr>
          <w:rFonts w:cstheme="minorHAnsi"/>
          <w:b/>
          <w:i/>
          <w:sz w:val="21"/>
          <w:szCs w:val="21"/>
        </w:rPr>
      </w:pPr>
    </w:p>
    <w:p w14:paraId="4D73EC59" w14:textId="77777777" w:rsidR="0071709A" w:rsidRPr="00480D11" w:rsidRDefault="0071709A" w:rsidP="00FC3713">
      <w:pPr>
        <w:spacing w:after="0"/>
        <w:rPr>
          <w:rFonts w:cstheme="minorHAnsi"/>
          <w:b/>
        </w:rPr>
      </w:pPr>
      <w:r w:rsidRPr="00480D11">
        <w:rPr>
          <w:rFonts w:cstheme="minorHAnsi"/>
          <w:b/>
        </w:rPr>
        <w:t xml:space="preserve">What is the </w:t>
      </w:r>
      <w:r w:rsidR="00480D11">
        <w:rPr>
          <w:rFonts w:cstheme="minorHAnsi"/>
          <w:b/>
        </w:rPr>
        <w:t xml:space="preserve">Leapfrog </w:t>
      </w:r>
      <w:r w:rsidRPr="00480D11">
        <w:rPr>
          <w:rFonts w:cstheme="minorHAnsi"/>
          <w:b/>
        </w:rPr>
        <w:t xml:space="preserve">Hospital Safety </w:t>
      </w:r>
      <w:r w:rsidR="00480D11">
        <w:rPr>
          <w:rFonts w:cstheme="minorHAnsi"/>
          <w:b/>
        </w:rPr>
        <w:t>Grade</w:t>
      </w:r>
      <w:r w:rsidRPr="00480D11">
        <w:rPr>
          <w:rFonts w:cstheme="minorHAnsi"/>
          <w:b/>
        </w:rPr>
        <w:t>?</w:t>
      </w:r>
    </w:p>
    <w:p w14:paraId="5377FD4E" w14:textId="17EADE67" w:rsidR="0071709A" w:rsidRPr="00480D11" w:rsidRDefault="003D655E" w:rsidP="00FC3713">
      <w:pPr>
        <w:spacing w:after="0"/>
        <w:rPr>
          <w:rFonts w:cstheme="minorHAnsi"/>
        </w:rPr>
      </w:pPr>
      <w:r w:rsidRPr="003D655E">
        <w:rPr>
          <w:rFonts w:cstheme="minorHAnsi"/>
        </w:rPr>
        <w:t xml:space="preserve">The Leapfrog Hospital Safety Grade is an “A,” “B,” “C,” “D” or “F” assigned to general hospitals in the U.S., rating how safe they are for their patients. The grade uses up to 27 measures including rates of preventable errors, </w:t>
      </w:r>
      <w:proofErr w:type="gramStart"/>
      <w:r w:rsidRPr="003D655E">
        <w:rPr>
          <w:rFonts w:cstheme="minorHAnsi"/>
        </w:rPr>
        <w:t>injuries</w:t>
      </w:r>
      <w:proofErr w:type="gramEnd"/>
      <w:r w:rsidRPr="003D655E">
        <w:rPr>
          <w:rFonts w:cstheme="minorHAnsi"/>
        </w:rPr>
        <w:t xml:space="preserve"> and infections, and whether hospitals have systems in place to prevent them. Grades are updated twice annually, in the fall and spring. The Safety Grades are based on a peer-reviewed methodology, calculated by top patient safety experts and are 100% transparent and free to the public.</w:t>
      </w:r>
    </w:p>
    <w:p w14:paraId="6ED68693" w14:textId="77777777" w:rsidR="003D655E" w:rsidRDefault="003D655E" w:rsidP="00FC3713">
      <w:pPr>
        <w:spacing w:after="0"/>
        <w:rPr>
          <w:rFonts w:cstheme="minorHAnsi"/>
          <w:b/>
        </w:rPr>
      </w:pPr>
    </w:p>
    <w:p w14:paraId="5528D0BA" w14:textId="1B506C66" w:rsidR="0071709A" w:rsidRPr="00480D11" w:rsidRDefault="0071709A" w:rsidP="00FC3713">
      <w:pPr>
        <w:spacing w:after="0"/>
        <w:rPr>
          <w:rFonts w:cstheme="minorHAnsi"/>
          <w:b/>
        </w:rPr>
      </w:pPr>
      <w:r w:rsidRPr="00480D11">
        <w:rPr>
          <w:rFonts w:cstheme="minorHAnsi"/>
          <w:b/>
        </w:rPr>
        <w:t>Who is The Leapfrog Group?</w:t>
      </w:r>
    </w:p>
    <w:p w14:paraId="7068AEDF" w14:textId="775B5320" w:rsidR="003D655E" w:rsidRDefault="003D655E" w:rsidP="00FC3713">
      <w:pPr>
        <w:spacing w:after="0"/>
      </w:pPr>
      <w:r w:rsidRPr="003D655E">
        <w:t>Founded in 2000 by large employers and other purchasers, The Leapfrog Group is a national nonprofit organization driving the movement for giant leaps forward in the quality and safety of American health care. For nearly 20 years we have collected, analyzed, and published hospital data on safety, quality, and resource use. That means purchasers can find high-value care, and it means real people are empowered with the information they need to make better decisions.</w:t>
      </w:r>
    </w:p>
    <w:p w14:paraId="0590FD2C" w14:textId="264D2EEB" w:rsidR="003D655E" w:rsidRDefault="003D655E" w:rsidP="00FC3713">
      <w:pPr>
        <w:spacing w:after="0"/>
      </w:pPr>
    </w:p>
    <w:p w14:paraId="7A0DAE1B" w14:textId="65114783" w:rsidR="003D655E" w:rsidRPr="003D655E" w:rsidRDefault="003D655E" w:rsidP="00FC3713">
      <w:pPr>
        <w:spacing w:after="0"/>
        <w:rPr>
          <w:b/>
          <w:bCs/>
        </w:rPr>
      </w:pPr>
      <w:r w:rsidRPr="003D655E">
        <w:rPr>
          <w:b/>
          <w:bCs/>
        </w:rPr>
        <w:t xml:space="preserve">How </w:t>
      </w:r>
      <w:r>
        <w:rPr>
          <w:b/>
          <w:bCs/>
        </w:rPr>
        <w:t xml:space="preserve">and why </w:t>
      </w:r>
      <w:r w:rsidRPr="003D655E">
        <w:rPr>
          <w:b/>
          <w:bCs/>
        </w:rPr>
        <w:t>are you involved with The Leapfrog Group?</w:t>
      </w:r>
    </w:p>
    <w:p w14:paraId="19DC4D88" w14:textId="2862C693" w:rsidR="007F27CA" w:rsidRPr="00480D11" w:rsidRDefault="00AF39B6" w:rsidP="00FC3713">
      <w:pPr>
        <w:spacing w:after="0"/>
        <w:rPr>
          <w:rFonts w:cstheme="minorHAnsi"/>
        </w:rPr>
      </w:pPr>
      <w:hyperlink r:id="rId11" w:history="1">
        <w:r w:rsidR="007F27CA" w:rsidRPr="00480D11">
          <w:rPr>
            <w:rStyle w:val="Hyperlink"/>
            <w:rFonts w:cstheme="minorHAnsi"/>
            <w:b/>
          </w:rPr>
          <w:t>The Leapfrog Group</w:t>
        </w:r>
      </w:hyperlink>
      <w:r w:rsidR="00BF2E75" w:rsidRPr="00480D11">
        <w:rPr>
          <w:rFonts w:cstheme="minorHAnsi"/>
        </w:rPr>
        <w:t xml:space="preserve">—and </w:t>
      </w:r>
      <w:proofErr w:type="gramStart"/>
      <w:r w:rsidR="00BF2E75" w:rsidRPr="00480D11">
        <w:rPr>
          <w:rFonts w:cstheme="minorHAnsi"/>
        </w:rPr>
        <w:t>all of</w:t>
      </w:r>
      <w:proofErr w:type="gramEnd"/>
      <w:r w:rsidR="00BF2E75" w:rsidRPr="00480D11">
        <w:rPr>
          <w:rFonts w:cstheme="minorHAnsi"/>
        </w:rPr>
        <w:t xml:space="preserve"> the employers like us involved with its mission</w:t>
      </w:r>
      <w:r w:rsidR="004C7CF2" w:rsidRPr="00480D11">
        <w:rPr>
          <w:rFonts w:cstheme="minorHAnsi"/>
        </w:rPr>
        <w:t>—seek</w:t>
      </w:r>
      <w:r w:rsidR="0046603C" w:rsidRPr="00480D11">
        <w:rPr>
          <w:rFonts w:cstheme="minorHAnsi"/>
        </w:rPr>
        <w:t>s</w:t>
      </w:r>
      <w:r w:rsidR="004C7CF2" w:rsidRPr="00480D11">
        <w:rPr>
          <w:rFonts w:cstheme="minorHAnsi"/>
        </w:rPr>
        <w:t xml:space="preserve"> to raise public </w:t>
      </w:r>
      <w:r w:rsidR="007F27CA" w:rsidRPr="00480D11">
        <w:rPr>
          <w:rFonts w:cstheme="minorHAnsi"/>
        </w:rPr>
        <w:t>aware</w:t>
      </w:r>
      <w:r w:rsidR="004C7CF2" w:rsidRPr="00480D11">
        <w:rPr>
          <w:rFonts w:cstheme="minorHAnsi"/>
        </w:rPr>
        <w:t>ness</w:t>
      </w:r>
      <w:r w:rsidR="007F27CA" w:rsidRPr="00480D11">
        <w:rPr>
          <w:rFonts w:cstheme="minorHAnsi"/>
        </w:rPr>
        <w:t xml:space="preserve"> of the safety of hospitals in </w:t>
      </w:r>
      <w:r w:rsidR="0046603C" w:rsidRPr="00480D11">
        <w:rPr>
          <w:rFonts w:cstheme="minorHAnsi"/>
        </w:rPr>
        <w:t>communities across the country. By grading hospitals on safety performance, Leapfrog empowers our employees</w:t>
      </w:r>
      <w:r w:rsidR="004C7CF2" w:rsidRPr="00480D11">
        <w:rPr>
          <w:rFonts w:cstheme="minorHAnsi"/>
        </w:rPr>
        <w:t xml:space="preserve"> and the public</w:t>
      </w:r>
      <w:r w:rsidR="007F27CA" w:rsidRPr="00480D11">
        <w:rPr>
          <w:rFonts w:cstheme="minorHAnsi"/>
        </w:rPr>
        <w:t xml:space="preserve"> </w:t>
      </w:r>
      <w:r w:rsidR="0046603C" w:rsidRPr="00480D11">
        <w:rPr>
          <w:rFonts w:cstheme="minorHAnsi"/>
        </w:rPr>
        <w:t>to</w:t>
      </w:r>
      <w:r w:rsidR="007F27CA" w:rsidRPr="00480D11">
        <w:rPr>
          <w:rFonts w:cstheme="minorHAnsi"/>
        </w:rPr>
        <w:t xml:space="preserve"> choose the </w:t>
      </w:r>
      <w:r w:rsidR="0046603C" w:rsidRPr="00480D11">
        <w:rPr>
          <w:rFonts w:cstheme="minorHAnsi"/>
        </w:rPr>
        <w:t xml:space="preserve">safest </w:t>
      </w:r>
      <w:r w:rsidR="007F27CA" w:rsidRPr="00480D11">
        <w:rPr>
          <w:rFonts w:cstheme="minorHAnsi"/>
        </w:rPr>
        <w:t>hospital.</w:t>
      </w:r>
      <w:r w:rsidR="0046603C" w:rsidRPr="00480D11">
        <w:rPr>
          <w:rFonts w:cstheme="minorHAnsi"/>
        </w:rPr>
        <w:t xml:space="preserve"> </w:t>
      </w:r>
      <w:r w:rsidR="007F27CA" w:rsidRPr="00480D11">
        <w:rPr>
          <w:rFonts w:cstheme="minorHAnsi"/>
        </w:rPr>
        <w:t>We are proud to stand with Leapfrog on this groundbreaking initiative, and we’re happy to offer our employees the ability to analyze their hospitals’ safety.</w:t>
      </w:r>
    </w:p>
    <w:p w14:paraId="33972BB4" w14:textId="77777777" w:rsidR="00BF2E75" w:rsidRPr="00480D11" w:rsidRDefault="00BF2E75" w:rsidP="00FC3713">
      <w:pPr>
        <w:spacing w:after="0"/>
        <w:rPr>
          <w:rFonts w:cstheme="minorHAnsi"/>
        </w:rPr>
      </w:pPr>
    </w:p>
    <w:p w14:paraId="4974754D" w14:textId="7BBF1005" w:rsidR="0071709A" w:rsidRDefault="007F27CA" w:rsidP="00FC3713">
      <w:pPr>
        <w:spacing w:after="0"/>
        <w:rPr>
          <w:rFonts w:cstheme="minorHAnsi"/>
        </w:rPr>
      </w:pPr>
      <w:r w:rsidRPr="00480D11">
        <w:rPr>
          <w:rFonts w:cstheme="minorHAnsi"/>
        </w:rPr>
        <w:t xml:space="preserve">We are also very active in our local business coalition, </w:t>
      </w:r>
      <w:r w:rsidRPr="00480D11">
        <w:rPr>
          <w:rFonts w:cstheme="minorHAnsi"/>
          <w:highlight w:val="yellow"/>
        </w:rPr>
        <w:t>[Insert name of local business coalition on health]</w:t>
      </w:r>
      <w:r w:rsidR="003D655E">
        <w:rPr>
          <w:rFonts w:cstheme="minorHAnsi"/>
        </w:rPr>
        <w:t xml:space="preserve"> that is a Leapfrog Regional Leader</w:t>
      </w:r>
      <w:r w:rsidRPr="00480D11">
        <w:rPr>
          <w:rFonts w:cstheme="minorHAnsi"/>
        </w:rPr>
        <w:t>.</w:t>
      </w:r>
      <w:r w:rsidR="0046603C" w:rsidRPr="00480D11">
        <w:rPr>
          <w:rFonts w:cstheme="minorHAnsi"/>
        </w:rPr>
        <w:t xml:space="preserve"> </w:t>
      </w:r>
      <w:r w:rsidRPr="00480D11">
        <w:rPr>
          <w:rFonts w:cstheme="minorHAnsi"/>
        </w:rPr>
        <w:t>Thanks to the efforts of employers</w:t>
      </w:r>
      <w:r w:rsidR="00D66089" w:rsidRPr="00480D11">
        <w:rPr>
          <w:rFonts w:cstheme="minorHAnsi"/>
        </w:rPr>
        <w:t xml:space="preserve"> and coalitions</w:t>
      </w:r>
      <w:r w:rsidRPr="00480D11">
        <w:rPr>
          <w:rFonts w:cstheme="minorHAnsi"/>
        </w:rPr>
        <w:t xml:space="preserve"> like us across the country, </w:t>
      </w:r>
      <w:r w:rsidR="003D655E">
        <w:rPr>
          <w:rFonts w:cstheme="minorHAnsi"/>
        </w:rPr>
        <w:t xml:space="preserve">this </w:t>
      </w:r>
      <w:r w:rsidRPr="00480D11">
        <w:rPr>
          <w:rFonts w:cstheme="minorHAnsi"/>
        </w:rPr>
        <w:t>easy-to-use, patient-friendly data is now available.</w:t>
      </w:r>
      <w:r w:rsidR="0046603C" w:rsidRPr="00480D11">
        <w:rPr>
          <w:rFonts w:cstheme="minorHAnsi"/>
        </w:rPr>
        <w:t xml:space="preserve"> </w:t>
      </w:r>
      <w:r w:rsidR="00D66089" w:rsidRPr="00480D11">
        <w:rPr>
          <w:rFonts w:cstheme="minorHAnsi"/>
        </w:rPr>
        <w:t>We will continue to advocate for improvements in hospital safety and quality, as well as to encourage that all hospitals publicly disclose information on safety and quality so that you can make the most informed decision on where to seek care.</w:t>
      </w:r>
    </w:p>
    <w:p w14:paraId="6BD67B90" w14:textId="77777777" w:rsidR="003D655E" w:rsidRPr="00480D11" w:rsidRDefault="003D655E" w:rsidP="00FC3713">
      <w:pPr>
        <w:spacing w:after="0"/>
        <w:rPr>
          <w:rFonts w:cstheme="minorHAnsi"/>
        </w:rPr>
      </w:pPr>
    </w:p>
    <w:p w14:paraId="5CEB4457" w14:textId="77777777" w:rsidR="003D655E" w:rsidRDefault="003D655E" w:rsidP="003D655E">
      <w:pPr>
        <w:spacing w:after="0"/>
        <w:rPr>
          <w:rFonts w:cstheme="minorHAnsi"/>
          <w:b/>
        </w:rPr>
      </w:pPr>
    </w:p>
    <w:p w14:paraId="2DB09BC0" w14:textId="77777777" w:rsidR="003D655E" w:rsidRDefault="003D655E" w:rsidP="003D655E">
      <w:pPr>
        <w:spacing w:after="0"/>
        <w:rPr>
          <w:rFonts w:cstheme="minorHAnsi"/>
          <w:b/>
        </w:rPr>
      </w:pPr>
    </w:p>
    <w:p w14:paraId="0C5F9AC4" w14:textId="77777777" w:rsidR="003D655E" w:rsidRDefault="003D655E" w:rsidP="003D655E">
      <w:pPr>
        <w:spacing w:after="0"/>
        <w:rPr>
          <w:rFonts w:cstheme="minorHAnsi"/>
          <w:b/>
        </w:rPr>
      </w:pPr>
    </w:p>
    <w:p w14:paraId="2BC4DF50" w14:textId="6B53E406" w:rsidR="003D655E" w:rsidRPr="003D655E" w:rsidRDefault="003D655E" w:rsidP="003D655E">
      <w:pPr>
        <w:spacing w:after="0"/>
        <w:rPr>
          <w:rFonts w:cstheme="minorHAnsi"/>
          <w:b/>
        </w:rPr>
      </w:pPr>
      <w:r w:rsidRPr="003D655E">
        <w:rPr>
          <w:rFonts w:cstheme="minorHAnsi"/>
          <w:b/>
        </w:rPr>
        <w:lastRenderedPageBreak/>
        <w:t>What is the difference between The Leapfrog Hospital Survey and The Leapfrog Hospital Safety Grade?</w:t>
      </w:r>
    </w:p>
    <w:p w14:paraId="04E3C1B8" w14:textId="1E4F24F2" w:rsidR="001C6849" w:rsidRPr="003D655E" w:rsidRDefault="003D655E" w:rsidP="003D655E">
      <w:pPr>
        <w:spacing w:after="0"/>
        <w:rPr>
          <w:rFonts w:cstheme="minorHAnsi"/>
          <w:bCs/>
        </w:rPr>
      </w:pPr>
      <w:r w:rsidRPr="003D655E">
        <w:rPr>
          <w:rFonts w:cstheme="minorHAnsi"/>
          <w:bCs/>
        </w:rPr>
        <w:t xml:space="preserve">The Leapfrog Hospital Survey is an annual voluntary survey in which Leapfrog asks hospitals to report quality and safety data and then publicly reports that information by hospital. The Leapfrog Hospital Safety Grade is a letter grade Leapfrog bi-annually assigns to general hospitals in the United States, whether they report to the Survey or not. If a hospital does not report to the Survey, the Safety Grade uses publicly available data from numerous secondary sources. </w:t>
      </w:r>
      <w:proofErr w:type="gramStart"/>
      <w:r w:rsidRPr="003D655E">
        <w:rPr>
          <w:rFonts w:cstheme="minorHAnsi"/>
          <w:bCs/>
        </w:rPr>
        <w:t>The majority of</w:t>
      </w:r>
      <w:proofErr w:type="gramEnd"/>
      <w:r w:rsidRPr="003D655E">
        <w:rPr>
          <w:rFonts w:cstheme="minorHAnsi"/>
          <w:bCs/>
        </w:rPr>
        <w:t xml:space="preserve"> data used to calculate the Safety Grade comes from the Centers for Medicare and Medicaid Services.</w:t>
      </w:r>
    </w:p>
    <w:p w14:paraId="5D492577" w14:textId="77777777" w:rsidR="003D655E" w:rsidRPr="00480D11" w:rsidRDefault="003D655E" w:rsidP="003D655E">
      <w:pPr>
        <w:spacing w:after="0"/>
        <w:rPr>
          <w:rFonts w:cstheme="minorHAnsi"/>
          <w:b/>
        </w:rPr>
      </w:pPr>
    </w:p>
    <w:p w14:paraId="308B6711" w14:textId="77777777" w:rsidR="00D66089" w:rsidRPr="00480D11" w:rsidRDefault="00D66089" w:rsidP="00FC3713">
      <w:pPr>
        <w:spacing w:after="0"/>
        <w:rPr>
          <w:rFonts w:cstheme="minorHAnsi"/>
          <w:b/>
        </w:rPr>
      </w:pPr>
      <w:r w:rsidRPr="00480D11">
        <w:rPr>
          <w:rFonts w:cstheme="minorHAnsi"/>
          <w:b/>
        </w:rPr>
        <w:t xml:space="preserve">What should I do if my local hospital </w:t>
      </w:r>
      <w:proofErr w:type="gramStart"/>
      <w:r w:rsidRPr="00480D11">
        <w:rPr>
          <w:rFonts w:cstheme="minorHAnsi"/>
          <w:b/>
        </w:rPr>
        <w:t>didn’t</w:t>
      </w:r>
      <w:proofErr w:type="gramEnd"/>
      <w:r w:rsidRPr="00480D11">
        <w:rPr>
          <w:rFonts w:cstheme="minorHAnsi"/>
          <w:b/>
        </w:rPr>
        <w:t xml:space="preserve"> get a good grade on the </w:t>
      </w:r>
      <w:r w:rsidR="00480D11" w:rsidRPr="00480D11">
        <w:rPr>
          <w:rFonts w:cstheme="minorHAnsi"/>
          <w:b/>
        </w:rPr>
        <w:t>Leapfrog Hospital Safety Grade</w:t>
      </w:r>
      <w:r w:rsidRPr="00480D11">
        <w:rPr>
          <w:rFonts w:cstheme="minorHAnsi"/>
          <w:b/>
        </w:rPr>
        <w:t>?</w:t>
      </w:r>
    </w:p>
    <w:p w14:paraId="02D9A1E2" w14:textId="3015F0F5" w:rsidR="00F95374" w:rsidRPr="00480D11" w:rsidRDefault="00D66089" w:rsidP="00FC3713">
      <w:pPr>
        <w:spacing w:after="0"/>
        <w:rPr>
          <w:rFonts w:cstheme="minorHAnsi"/>
        </w:rPr>
      </w:pPr>
      <w:r w:rsidRPr="00480D11">
        <w:rPr>
          <w:rFonts w:cstheme="minorHAnsi"/>
        </w:rPr>
        <w:t xml:space="preserve">The </w:t>
      </w:r>
      <w:r w:rsidR="00480D11" w:rsidRPr="00480D11">
        <w:rPr>
          <w:rFonts w:cstheme="minorHAnsi"/>
        </w:rPr>
        <w:t>Leapfrog Hospital Safety Grade</w:t>
      </w:r>
      <w:r w:rsidR="00480D11">
        <w:rPr>
          <w:rFonts w:cstheme="minorHAnsi"/>
        </w:rPr>
        <w:t xml:space="preserve"> </w:t>
      </w:r>
      <w:r w:rsidRPr="00480D11">
        <w:rPr>
          <w:rFonts w:cstheme="minorHAnsi"/>
        </w:rPr>
        <w:t>is one tool that you should use in selecting a hospital.</w:t>
      </w:r>
      <w:r w:rsidR="0046603C" w:rsidRPr="00480D11">
        <w:rPr>
          <w:rFonts w:cstheme="minorHAnsi"/>
        </w:rPr>
        <w:t xml:space="preserve"> </w:t>
      </w:r>
      <w:r w:rsidRPr="00480D11">
        <w:rPr>
          <w:rFonts w:cstheme="minorHAnsi"/>
        </w:rPr>
        <w:t xml:space="preserve">It is important to talk with your doctor about </w:t>
      </w:r>
      <w:r w:rsidR="008D71B6" w:rsidRPr="00480D11">
        <w:rPr>
          <w:rFonts w:cstheme="minorHAnsi"/>
        </w:rPr>
        <w:t>what</w:t>
      </w:r>
      <w:r w:rsidRPr="00480D11">
        <w:rPr>
          <w:rFonts w:cstheme="minorHAnsi"/>
        </w:rPr>
        <w:t xml:space="preserve"> hospital is best for you and your family.</w:t>
      </w:r>
      <w:r w:rsidR="0046603C" w:rsidRPr="00480D11">
        <w:rPr>
          <w:rFonts w:cstheme="minorHAnsi"/>
        </w:rPr>
        <w:t xml:space="preserve"> </w:t>
      </w:r>
      <w:r w:rsidR="00F95374" w:rsidRPr="00F95374">
        <w:rPr>
          <w:rFonts w:cstheme="minorHAnsi"/>
        </w:rPr>
        <w:t>Never refuse care in an emergency because of the Leapfrog Hospital Safety Grade. Rather, use the Leapfrog Hospital Safety Grade as a guide for planned events and a research tool for potential emergencies.</w:t>
      </w:r>
      <w:r w:rsidR="00AF39B6">
        <w:rPr>
          <w:rFonts w:cstheme="minorHAnsi"/>
        </w:rPr>
        <w:t xml:space="preserve"> Leapfrog</w:t>
      </w:r>
      <w:r w:rsidR="00F95374" w:rsidRPr="00F95374">
        <w:rPr>
          <w:rFonts w:cstheme="minorHAnsi"/>
        </w:rPr>
        <w:t xml:space="preserve"> also offer</w:t>
      </w:r>
      <w:r w:rsidR="00AF39B6">
        <w:rPr>
          <w:rFonts w:cstheme="minorHAnsi"/>
        </w:rPr>
        <w:t>s free</w:t>
      </w:r>
      <w:r w:rsidR="00F95374" w:rsidRPr="00F95374">
        <w:rPr>
          <w:rFonts w:cstheme="minorHAnsi"/>
        </w:rPr>
        <w:t xml:space="preserve"> guidance and resources </w:t>
      </w:r>
      <w:hyperlink r:id="rId12" w:history="1">
        <w:r w:rsidR="00F95374" w:rsidRPr="00F95374">
          <w:rPr>
            <w:rStyle w:val="Hyperlink"/>
            <w:rFonts w:cstheme="minorHAnsi"/>
          </w:rPr>
          <w:t xml:space="preserve">on </w:t>
        </w:r>
        <w:r w:rsidR="00AF39B6">
          <w:rPr>
            <w:rStyle w:val="Hyperlink"/>
            <w:rFonts w:cstheme="minorHAnsi"/>
          </w:rPr>
          <w:t>its</w:t>
        </w:r>
        <w:r w:rsidR="00F95374" w:rsidRPr="00F95374">
          <w:rPr>
            <w:rStyle w:val="Hyperlink"/>
            <w:rFonts w:cstheme="minorHAnsi"/>
          </w:rPr>
          <w:t xml:space="preserve"> website</w:t>
        </w:r>
      </w:hyperlink>
      <w:r w:rsidR="00F95374" w:rsidRPr="00F95374">
        <w:rPr>
          <w:rFonts w:cstheme="minorHAnsi"/>
        </w:rPr>
        <w:t xml:space="preserve"> for patients and family members to protect themselves during a hospital stay. Those are important no matter what the hospital’s grade is because no hospital is perfectly safe.</w:t>
      </w:r>
    </w:p>
    <w:p w14:paraId="1987C0CB" w14:textId="77777777" w:rsidR="008D71B6" w:rsidRPr="00480D11" w:rsidRDefault="008D71B6" w:rsidP="00FC3713">
      <w:pPr>
        <w:spacing w:after="0"/>
        <w:rPr>
          <w:rFonts w:cstheme="minorHAnsi"/>
        </w:rPr>
      </w:pPr>
    </w:p>
    <w:p w14:paraId="07FBE66B" w14:textId="77777777" w:rsidR="008D71B6" w:rsidRPr="00480D11" w:rsidRDefault="008D71B6" w:rsidP="00FC3713">
      <w:pPr>
        <w:spacing w:after="0"/>
        <w:rPr>
          <w:rFonts w:cstheme="minorHAnsi"/>
          <w:b/>
        </w:rPr>
      </w:pPr>
      <w:r w:rsidRPr="00480D11">
        <w:rPr>
          <w:rFonts w:cstheme="minorHAnsi"/>
          <w:b/>
        </w:rPr>
        <w:t>How can I make sure my family and I are staying safe in the hospital?</w:t>
      </w:r>
    </w:p>
    <w:p w14:paraId="65C352F6" w14:textId="715D3522" w:rsidR="008D71B6" w:rsidRPr="00480D11" w:rsidRDefault="008D71B6" w:rsidP="00FC3713">
      <w:pPr>
        <w:spacing w:after="0"/>
        <w:rPr>
          <w:rFonts w:cstheme="minorHAnsi"/>
        </w:rPr>
      </w:pPr>
      <w:r w:rsidRPr="00480D11">
        <w:rPr>
          <w:rFonts w:cstheme="minorHAnsi"/>
        </w:rPr>
        <w:t xml:space="preserve">Even when receiving care at an </w:t>
      </w:r>
      <w:r w:rsidR="00DB0BFD">
        <w:rPr>
          <w:rFonts w:cstheme="minorHAnsi"/>
        </w:rPr>
        <w:t>“</w:t>
      </w:r>
      <w:r w:rsidRPr="00480D11">
        <w:rPr>
          <w:rFonts w:cstheme="minorHAnsi"/>
        </w:rPr>
        <w:t>A</w:t>
      </w:r>
      <w:r w:rsidR="00DB0BFD">
        <w:rPr>
          <w:rFonts w:cstheme="minorHAnsi"/>
        </w:rPr>
        <w:t>”</w:t>
      </w:r>
      <w:r w:rsidRPr="00480D11">
        <w:rPr>
          <w:rFonts w:cstheme="minorHAnsi"/>
        </w:rPr>
        <w:t xml:space="preserve"> hospital, it is important to stay vigilant and take action to protect yourself.</w:t>
      </w:r>
      <w:r w:rsidR="0046603C" w:rsidRPr="00480D11">
        <w:rPr>
          <w:rFonts w:cstheme="minorHAnsi"/>
        </w:rPr>
        <w:t xml:space="preserve"> </w:t>
      </w:r>
      <w:r w:rsidRPr="00480D11">
        <w:rPr>
          <w:rFonts w:cstheme="minorHAnsi"/>
        </w:rPr>
        <w:t>Be prepared for your hospital stay by doing things like researching your hospital</w:t>
      </w:r>
      <w:r w:rsidR="00F75F73" w:rsidRPr="00480D11">
        <w:rPr>
          <w:rFonts w:cstheme="minorHAnsi"/>
        </w:rPr>
        <w:t xml:space="preserve"> in advance</w:t>
      </w:r>
      <w:r w:rsidRPr="00480D11">
        <w:rPr>
          <w:rFonts w:cstheme="minorHAnsi"/>
        </w:rPr>
        <w:t>, giving your doctors lists of your medications and all your medical records, and following checklists of steps to take in order to stay safe in the hospital.</w:t>
      </w:r>
      <w:r w:rsidR="0046603C" w:rsidRPr="00480D11">
        <w:rPr>
          <w:rFonts w:cstheme="minorHAnsi"/>
        </w:rPr>
        <w:t xml:space="preserve"> </w:t>
      </w:r>
      <w:r w:rsidRPr="00480D11">
        <w:rPr>
          <w:rFonts w:cstheme="minorHAnsi"/>
        </w:rPr>
        <w:t xml:space="preserve">Visit </w:t>
      </w:r>
      <w:r w:rsidR="001C6849" w:rsidRPr="00480D11">
        <w:rPr>
          <w:rFonts w:cstheme="minorHAnsi"/>
        </w:rPr>
        <w:t>the</w:t>
      </w:r>
      <w:r w:rsidR="00480D11">
        <w:rPr>
          <w:rFonts w:cstheme="minorHAnsi"/>
        </w:rPr>
        <w:t xml:space="preserve"> </w:t>
      </w:r>
      <w:hyperlink r:id="rId13" w:history="1">
        <w:r w:rsidR="00480D11" w:rsidRPr="00480D11">
          <w:rPr>
            <w:rStyle w:val="Hyperlink"/>
            <w:rFonts w:cstheme="minorHAnsi"/>
          </w:rPr>
          <w:t>Leapfrog Hospital Safety Grade</w:t>
        </w:r>
      </w:hyperlink>
      <w:r w:rsidR="00480D11">
        <w:rPr>
          <w:rFonts w:cstheme="minorHAnsi"/>
        </w:rPr>
        <w:t xml:space="preserve"> website</w:t>
      </w:r>
      <w:r w:rsidRPr="00480D11">
        <w:rPr>
          <w:rFonts w:cstheme="minorHAnsi"/>
        </w:rPr>
        <w:t xml:space="preserve"> for more tips on staying safe from harm while receiving hospital care.</w:t>
      </w:r>
      <w:r w:rsidR="0046603C" w:rsidRPr="00480D11">
        <w:rPr>
          <w:rFonts w:cstheme="minorHAnsi"/>
        </w:rPr>
        <w:t xml:space="preserve"> </w:t>
      </w:r>
    </w:p>
    <w:sectPr w:rsidR="008D71B6" w:rsidRPr="00480D11" w:rsidSect="001F259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EAC1B" w14:textId="77777777" w:rsidR="002A79DA" w:rsidRDefault="002A79DA" w:rsidP="00FF3F40">
      <w:pPr>
        <w:spacing w:after="0" w:line="240" w:lineRule="auto"/>
      </w:pPr>
      <w:r>
        <w:separator/>
      </w:r>
    </w:p>
  </w:endnote>
  <w:endnote w:type="continuationSeparator" w:id="0">
    <w:p w14:paraId="278DCFD4" w14:textId="77777777" w:rsidR="002A79DA" w:rsidRDefault="002A79DA" w:rsidP="00FF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1CB2E" w14:textId="77777777" w:rsidR="003D655E" w:rsidRPr="00C17C3E" w:rsidRDefault="003D655E" w:rsidP="003D655E">
    <w:pPr>
      <w:pStyle w:val="Footer"/>
      <w:jc w:val="center"/>
      <w:rPr>
        <w:b/>
        <w:sz w:val="20"/>
        <w:szCs w:val="20"/>
      </w:rPr>
    </w:pPr>
    <w:r w:rsidRPr="00C17C3E">
      <w:rPr>
        <w:b/>
        <w:sz w:val="20"/>
        <w:szCs w:val="20"/>
      </w:rPr>
      <w:t>The Leapfrog Group</w:t>
    </w:r>
  </w:p>
  <w:p w14:paraId="13FC5C23" w14:textId="77777777" w:rsidR="003D655E" w:rsidRPr="008E36F6" w:rsidRDefault="003D655E" w:rsidP="003D655E">
    <w:pPr>
      <w:pStyle w:val="Footer"/>
      <w:jc w:val="center"/>
      <w:rPr>
        <w:sz w:val="20"/>
        <w:szCs w:val="20"/>
      </w:rPr>
    </w:pPr>
    <w:r w:rsidRPr="00495F89">
      <w:rPr>
        <w:sz w:val="20"/>
        <w:szCs w:val="20"/>
      </w:rPr>
      <w:t>info@leapfrog-group.org</w:t>
    </w:r>
    <w:r>
      <w:rPr>
        <w:sz w:val="20"/>
        <w:szCs w:val="20"/>
      </w:rPr>
      <w:t xml:space="preserve"> | </w:t>
    </w:r>
    <w:r w:rsidRPr="00495F89">
      <w:rPr>
        <w:sz w:val="20"/>
        <w:szCs w:val="20"/>
      </w:rPr>
      <w:t>1775 K. Street, NW, Suite 400</w:t>
    </w:r>
    <w:r>
      <w:rPr>
        <w:sz w:val="20"/>
        <w:szCs w:val="20"/>
      </w:rPr>
      <w:t xml:space="preserve"> </w:t>
    </w:r>
    <w:r w:rsidRPr="00495F89">
      <w:rPr>
        <w:sz w:val="20"/>
        <w:szCs w:val="20"/>
      </w:rPr>
      <w:t>Washington, DC 20006</w:t>
    </w:r>
    <w:r>
      <w:rPr>
        <w:sz w:val="20"/>
        <w:szCs w:val="20"/>
      </w:rPr>
      <w:t xml:space="preserve"> | www.leapfroggroup.org</w:t>
    </w:r>
  </w:p>
  <w:p w14:paraId="5AD2E172" w14:textId="3E23E8AB" w:rsidR="00BF2E75" w:rsidRPr="003D655E" w:rsidRDefault="00BF2E75" w:rsidP="003D6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E54CE" w14:textId="77777777" w:rsidR="002A79DA" w:rsidRDefault="002A79DA" w:rsidP="00FF3F40">
      <w:pPr>
        <w:spacing w:after="0" w:line="240" w:lineRule="auto"/>
      </w:pPr>
      <w:r>
        <w:separator/>
      </w:r>
    </w:p>
  </w:footnote>
  <w:footnote w:type="continuationSeparator" w:id="0">
    <w:p w14:paraId="5DFDE4B3" w14:textId="77777777" w:rsidR="002A79DA" w:rsidRDefault="002A79DA" w:rsidP="00FF3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6005"/>
    <w:multiLevelType w:val="hybridMultilevel"/>
    <w:tmpl w:val="D9DA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A22D8"/>
    <w:multiLevelType w:val="hybridMultilevel"/>
    <w:tmpl w:val="F9A28114"/>
    <w:lvl w:ilvl="0" w:tplc="7F5A1352">
      <w:start w:val="1"/>
      <w:numFmt w:val="bullet"/>
      <w:lvlText w:val="•"/>
      <w:lvlJc w:val="left"/>
      <w:pPr>
        <w:tabs>
          <w:tab w:val="num" w:pos="720"/>
        </w:tabs>
        <w:ind w:left="720" w:hanging="360"/>
      </w:pPr>
      <w:rPr>
        <w:rFonts w:ascii="Arial" w:hAnsi="Arial" w:hint="default"/>
      </w:rPr>
    </w:lvl>
    <w:lvl w:ilvl="1" w:tplc="9478425C" w:tentative="1">
      <w:start w:val="1"/>
      <w:numFmt w:val="bullet"/>
      <w:lvlText w:val="•"/>
      <w:lvlJc w:val="left"/>
      <w:pPr>
        <w:tabs>
          <w:tab w:val="num" w:pos="1440"/>
        </w:tabs>
        <w:ind w:left="1440" w:hanging="360"/>
      </w:pPr>
      <w:rPr>
        <w:rFonts w:ascii="Arial" w:hAnsi="Arial" w:hint="default"/>
      </w:rPr>
    </w:lvl>
    <w:lvl w:ilvl="2" w:tplc="542A3F6A" w:tentative="1">
      <w:start w:val="1"/>
      <w:numFmt w:val="bullet"/>
      <w:lvlText w:val="•"/>
      <w:lvlJc w:val="left"/>
      <w:pPr>
        <w:tabs>
          <w:tab w:val="num" w:pos="2160"/>
        </w:tabs>
        <w:ind w:left="2160" w:hanging="360"/>
      </w:pPr>
      <w:rPr>
        <w:rFonts w:ascii="Arial" w:hAnsi="Arial" w:hint="default"/>
      </w:rPr>
    </w:lvl>
    <w:lvl w:ilvl="3" w:tplc="39B06F1A" w:tentative="1">
      <w:start w:val="1"/>
      <w:numFmt w:val="bullet"/>
      <w:lvlText w:val="•"/>
      <w:lvlJc w:val="left"/>
      <w:pPr>
        <w:tabs>
          <w:tab w:val="num" w:pos="2880"/>
        </w:tabs>
        <w:ind w:left="2880" w:hanging="360"/>
      </w:pPr>
      <w:rPr>
        <w:rFonts w:ascii="Arial" w:hAnsi="Arial" w:hint="default"/>
      </w:rPr>
    </w:lvl>
    <w:lvl w:ilvl="4" w:tplc="D1B80774" w:tentative="1">
      <w:start w:val="1"/>
      <w:numFmt w:val="bullet"/>
      <w:lvlText w:val="•"/>
      <w:lvlJc w:val="left"/>
      <w:pPr>
        <w:tabs>
          <w:tab w:val="num" w:pos="3600"/>
        </w:tabs>
        <w:ind w:left="3600" w:hanging="360"/>
      </w:pPr>
      <w:rPr>
        <w:rFonts w:ascii="Arial" w:hAnsi="Arial" w:hint="default"/>
      </w:rPr>
    </w:lvl>
    <w:lvl w:ilvl="5" w:tplc="6F8CE0F2" w:tentative="1">
      <w:start w:val="1"/>
      <w:numFmt w:val="bullet"/>
      <w:lvlText w:val="•"/>
      <w:lvlJc w:val="left"/>
      <w:pPr>
        <w:tabs>
          <w:tab w:val="num" w:pos="4320"/>
        </w:tabs>
        <w:ind w:left="4320" w:hanging="360"/>
      </w:pPr>
      <w:rPr>
        <w:rFonts w:ascii="Arial" w:hAnsi="Arial" w:hint="default"/>
      </w:rPr>
    </w:lvl>
    <w:lvl w:ilvl="6" w:tplc="4B28A538" w:tentative="1">
      <w:start w:val="1"/>
      <w:numFmt w:val="bullet"/>
      <w:lvlText w:val="•"/>
      <w:lvlJc w:val="left"/>
      <w:pPr>
        <w:tabs>
          <w:tab w:val="num" w:pos="5040"/>
        </w:tabs>
        <w:ind w:left="5040" w:hanging="360"/>
      </w:pPr>
      <w:rPr>
        <w:rFonts w:ascii="Arial" w:hAnsi="Arial" w:hint="default"/>
      </w:rPr>
    </w:lvl>
    <w:lvl w:ilvl="7" w:tplc="E264D3CC" w:tentative="1">
      <w:start w:val="1"/>
      <w:numFmt w:val="bullet"/>
      <w:lvlText w:val="•"/>
      <w:lvlJc w:val="left"/>
      <w:pPr>
        <w:tabs>
          <w:tab w:val="num" w:pos="5760"/>
        </w:tabs>
        <w:ind w:left="5760" w:hanging="360"/>
      </w:pPr>
      <w:rPr>
        <w:rFonts w:ascii="Arial" w:hAnsi="Arial" w:hint="default"/>
      </w:rPr>
    </w:lvl>
    <w:lvl w:ilvl="8" w:tplc="E93E89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2A7D6E"/>
    <w:multiLevelType w:val="hybridMultilevel"/>
    <w:tmpl w:val="4CC6D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672011"/>
    <w:multiLevelType w:val="hybridMultilevel"/>
    <w:tmpl w:val="F4EEC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84B5A"/>
    <w:multiLevelType w:val="hybridMultilevel"/>
    <w:tmpl w:val="0852A1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mailMerge>
    <w:mainDocumentType w:val="email"/>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AD"/>
    <w:rsid w:val="0000464B"/>
    <w:rsid w:val="000121B1"/>
    <w:rsid w:val="00050534"/>
    <w:rsid w:val="00064575"/>
    <w:rsid w:val="000850A6"/>
    <w:rsid w:val="000962F9"/>
    <w:rsid w:val="00096ED7"/>
    <w:rsid w:val="000A6629"/>
    <w:rsid w:val="000B5E6E"/>
    <w:rsid w:val="00133AA5"/>
    <w:rsid w:val="00166BF5"/>
    <w:rsid w:val="001C6849"/>
    <w:rsid w:val="001D74CF"/>
    <w:rsid w:val="001F2596"/>
    <w:rsid w:val="001F3F14"/>
    <w:rsid w:val="00223122"/>
    <w:rsid w:val="002459AF"/>
    <w:rsid w:val="0025427E"/>
    <w:rsid w:val="002A79DA"/>
    <w:rsid w:val="002F4E9D"/>
    <w:rsid w:val="00301F55"/>
    <w:rsid w:val="0030545C"/>
    <w:rsid w:val="003475D1"/>
    <w:rsid w:val="003D3E94"/>
    <w:rsid w:val="003D5B8E"/>
    <w:rsid w:val="003D655E"/>
    <w:rsid w:val="003E19A3"/>
    <w:rsid w:val="003E2A1D"/>
    <w:rsid w:val="0046603C"/>
    <w:rsid w:val="00480D11"/>
    <w:rsid w:val="00487793"/>
    <w:rsid w:val="004B567B"/>
    <w:rsid w:val="004C7CF2"/>
    <w:rsid w:val="004F1A51"/>
    <w:rsid w:val="004F593F"/>
    <w:rsid w:val="00507232"/>
    <w:rsid w:val="00507F9B"/>
    <w:rsid w:val="005A1F22"/>
    <w:rsid w:val="005B6174"/>
    <w:rsid w:val="00613E24"/>
    <w:rsid w:val="0063655A"/>
    <w:rsid w:val="006441F5"/>
    <w:rsid w:val="00685BA7"/>
    <w:rsid w:val="006D385B"/>
    <w:rsid w:val="006F6483"/>
    <w:rsid w:val="0071709A"/>
    <w:rsid w:val="00717C9B"/>
    <w:rsid w:val="00721156"/>
    <w:rsid w:val="00762FB9"/>
    <w:rsid w:val="00765D4E"/>
    <w:rsid w:val="00786BF7"/>
    <w:rsid w:val="007B167B"/>
    <w:rsid w:val="007D3245"/>
    <w:rsid w:val="007F27CA"/>
    <w:rsid w:val="0084255A"/>
    <w:rsid w:val="008725C5"/>
    <w:rsid w:val="008A11D1"/>
    <w:rsid w:val="008B766C"/>
    <w:rsid w:val="008D71B6"/>
    <w:rsid w:val="008E2DC0"/>
    <w:rsid w:val="008F5A29"/>
    <w:rsid w:val="008F6B28"/>
    <w:rsid w:val="00905C0E"/>
    <w:rsid w:val="009361BE"/>
    <w:rsid w:val="00954036"/>
    <w:rsid w:val="009C5CED"/>
    <w:rsid w:val="00A06E03"/>
    <w:rsid w:val="00A17273"/>
    <w:rsid w:val="00A26DCE"/>
    <w:rsid w:val="00A327A2"/>
    <w:rsid w:val="00A54230"/>
    <w:rsid w:val="00AA4E98"/>
    <w:rsid w:val="00AF39B6"/>
    <w:rsid w:val="00B16179"/>
    <w:rsid w:val="00B34F7E"/>
    <w:rsid w:val="00B51175"/>
    <w:rsid w:val="00B94BCC"/>
    <w:rsid w:val="00B97148"/>
    <w:rsid w:val="00BA1C66"/>
    <w:rsid w:val="00BA5467"/>
    <w:rsid w:val="00BD1B91"/>
    <w:rsid w:val="00BF2E75"/>
    <w:rsid w:val="00C35FA3"/>
    <w:rsid w:val="00C459D1"/>
    <w:rsid w:val="00C91DAE"/>
    <w:rsid w:val="00C922C1"/>
    <w:rsid w:val="00CA11A3"/>
    <w:rsid w:val="00CF63DF"/>
    <w:rsid w:val="00D25C4F"/>
    <w:rsid w:val="00D66089"/>
    <w:rsid w:val="00D80AEA"/>
    <w:rsid w:val="00D94896"/>
    <w:rsid w:val="00DB0BFD"/>
    <w:rsid w:val="00E140F7"/>
    <w:rsid w:val="00E1644E"/>
    <w:rsid w:val="00E21B6D"/>
    <w:rsid w:val="00E3100B"/>
    <w:rsid w:val="00E36059"/>
    <w:rsid w:val="00E74762"/>
    <w:rsid w:val="00E86AF3"/>
    <w:rsid w:val="00E93EBF"/>
    <w:rsid w:val="00EC52C8"/>
    <w:rsid w:val="00EE037C"/>
    <w:rsid w:val="00EE3123"/>
    <w:rsid w:val="00F069D0"/>
    <w:rsid w:val="00F51DAD"/>
    <w:rsid w:val="00F75F73"/>
    <w:rsid w:val="00F80DF7"/>
    <w:rsid w:val="00F95374"/>
    <w:rsid w:val="00FC3713"/>
    <w:rsid w:val="00FF3F40"/>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B1FA"/>
  <w15:docId w15:val="{346B9D29-3953-4A46-AD68-104B926A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E037C"/>
    <w:pPr>
      <w:keepNext/>
      <w:keepLines/>
      <w:spacing w:before="200" w:after="0"/>
      <w:outlineLvl w:val="2"/>
    </w:pPr>
    <w:rPr>
      <w:rFonts w:ascii="Cambria" w:eastAsia="Times New Roman" w:hAnsi="Cambr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DAD"/>
    <w:pPr>
      <w:ind w:left="720"/>
      <w:contextualSpacing/>
    </w:pPr>
  </w:style>
  <w:style w:type="character" w:styleId="Hyperlink">
    <w:name w:val="Hyperlink"/>
    <w:basedOn w:val="DefaultParagraphFont"/>
    <w:uiPriority w:val="99"/>
    <w:unhideWhenUsed/>
    <w:rsid w:val="00E21B6D"/>
    <w:rPr>
      <w:color w:val="0000FF" w:themeColor="hyperlink"/>
      <w:u w:val="single"/>
    </w:rPr>
  </w:style>
  <w:style w:type="paragraph" w:styleId="BalloonText">
    <w:name w:val="Balloon Text"/>
    <w:basedOn w:val="Normal"/>
    <w:link w:val="BalloonTextChar"/>
    <w:uiPriority w:val="99"/>
    <w:semiHidden/>
    <w:unhideWhenUsed/>
    <w:rsid w:val="00A54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230"/>
    <w:rPr>
      <w:rFonts w:ascii="Tahoma" w:hAnsi="Tahoma" w:cs="Tahoma"/>
      <w:sz w:val="16"/>
      <w:szCs w:val="16"/>
    </w:rPr>
  </w:style>
  <w:style w:type="paragraph" w:styleId="Header">
    <w:name w:val="header"/>
    <w:basedOn w:val="Normal"/>
    <w:link w:val="HeaderChar"/>
    <w:uiPriority w:val="99"/>
    <w:unhideWhenUsed/>
    <w:rsid w:val="00FF3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F40"/>
  </w:style>
  <w:style w:type="paragraph" w:styleId="Footer">
    <w:name w:val="footer"/>
    <w:basedOn w:val="Normal"/>
    <w:link w:val="FooterChar"/>
    <w:uiPriority w:val="99"/>
    <w:unhideWhenUsed/>
    <w:rsid w:val="00FF3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F40"/>
  </w:style>
  <w:style w:type="character" w:customStyle="1" w:styleId="Heading3Char">
    <w:name w:val="Heading 3 Char"/>
    <w:basedOn w:val="DefaultParagraphFont"/>
    <w:link w:val="Heading3"/>
    <w:uiPriority w:val="9"/>
    <w:rsid w:val="00EE037C"/>
    <w:rPr>
      <w:rFonts w:ascii="Cambria" w:eastAsia="Times New Roman" w:hAnsi="Cambria" w:cs="Times New Roman"/>
      <w:b/>
      <w:bCs/>
    </w:rPr>
  </w:style>
  <w:style w:type="paragraph" w:styleId="FootnoteText">
    <w:name w:val="footnote text"/>
    <w:basedOn w:val="Normal"/>
    <w:link w:val="FootnoteTextChar"/>
    <w:uiPriority w:val="99"/>
    <w:semiHidden/>
    <w:unhideWhenUsed/>
    <w:rsid w:val="00EE037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E037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037C"/>
    <w:rPr>
      <w:vertAlign w:val="superscript"/>
    </w:rPr>
  </w:style>
  <w:style w:type="character" w:styleId="FollowedHyperlink">
    <w:name w:val="FollowedHyperlink"/>
    <w:basedOn w:val="DefaultParagraphFont"/>
    <w:uiPriority w:val="99"/>
    <w:semiHidden/>
    <w:unhideWhenUsed/>
    <w:rsid w:val="008F5A29"/>
    <w:rPr>
      <w:color w:val="800080" w:themeColor="followedHyperlink"/>
      <w:u w:val="single"/>
    </w:rPr>
  </w:style>
  <w:style w:type="paragraph" w:styleId="NoSpacing">
    <w:name w:val="No Spacing"/>
    <w:uiPriority w:val="1"/>
    <w:qFormat/>
    <w:rsid w:val="00507232"/>
    <w:pPr>
      <w:spacing w:after="0" w:line="240" w:lineRule="auto"/>
    </w:pPr>
  </w:style>
  <w:style w:type="character" w:styleId="UnresolvedMention">
    <w:name w:val="Unresolved Mention"/>
    <w:basedOn w:val="DefaultParagraphFont"/>
    <w:uiPriority w:val="99"/>
    <w:semiHidden/>
    <w:unhideWhenUsed/>
    <w:rsid w:val="00F95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625840">
      <w:bodyDiv w:val="1"/>
      <w:marLeft w:val="0"/>
      <w:marRight w:val="0"/>
      <w:marTop w:val="0"/>
      <w:marBottom w:val="0"/>
      <w:divBdr>
        <w:top w:val="none" w:sz="0" w:space="0" w:color="auto"/>
        <w:left w:val="none" w:sz="0" w:space="0" w:color="auto"/>
        <w:bottom w:val="none" w:sz="0" w:space="0" w:color="auto"/>
        <w:right w:val="none" w:sz="0" w:space="0" w:color="auto"/>
      </w:divBdr>
      <w:divsChild>
        <w:div w:id="534849675">
          <w:marLeft w:val="547"/>
          <w:marRight w:val="0"/>
          <w:marTop w:val="154"/>
          <w:marBottom w:val="0"/>
          <w:divBdr>
            <w:top w:val="none" w:sz="0" w:space="0" w:color="auto"/>
            <w:left w:val="none" w:sz="0" w:space="0" w:color="auto"/>
            <w:bottom w:val="none" w:sz="0" w:space="0" w:color="auto"/>
            <w:right w:val="none" w:sz="0" w:space="0" w:color="auto"/>
          </w:divBdr>
        </w:div>
        <w:div w:id="1780177977">
          <w:marLeft w:val="547"/>
          <w:marRight w:val="0"/>
          <w:marTop w:val="154"/>
          <w:marBottom w:val="0"/>
          <w:divBdr>
            <w:top w:val="none" w:sz="0" w:space="0" w:color="auto"/>
            <w:left w:val="none" w:sz="0" w:space="0" w:color="auto"/>
            <w:bottom w:val="none" w:sz="0" w:space="0" w:color="auto"/>
            <w:right w:val="none" w:sz="0" w:space="0" w:color="auto"/>
          </w:divBdr>
        </w:div>
        <w:div w:id="427848389">
          <w:marLeft w:val="547"/>
          <w:marRight w:val="0"/>
          <w:marTop w:val="154"/>
          <w:marBottom w:val="0"/>
          <w:divBdr>
            <w:top w:val="none" w:sz="0" w:space="0" w:color="auto"/>
            <w:left w:val="none" w:sz="0" w:space="0" w:color="auto"/>
            <w:bottom w:val="none" w:sz="0" w:space="0" w:color="auto"/>
            <w:right w:val="none" w:sz="0" w:space="0" w:color="auto"/>
          </w:divBdr>
        </w:div>
      </w:divsChild>
    </w:div>
    <w:div w:id="113981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spitalsafetygrad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spitalsafetygrade.org/what-you-can-do-to-stay-sa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pfroggrou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B659-31FC-472F-872C-BA7B43C5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Leapfrog Group</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Voth</dc:creator>
  <cp:lastModifiedBy>Lauren Bailey</cp:lastModifiedBy>
  <cp:revision>6</cp:revision>
  <cp:lastPrinted>2012-06-08T14:01:00Z</cp:lastPrinted>
  <dcterms:created xsi:type="dcterms:W3CDTF">2021-01-06T16:47:00Z</dcterms:created>
  <dcterms:modified xsi:type="dcterms:W3CDTF">2021-01-06T16:59:00Z</dcterms:modified>
</cp:coreProperties>
</file>