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13E74" w14:textId="77777777" w:rsidR="00F51DAD" w:rsidRPr="002614B4" w:rsidRDefault="002614B4" w:rsidP="00726FFA">
      <w:pPr>
        <w:tabs>
          <w:tab w:val="left" w:pos="1440"/>
        </w:tabs>
        <w:spacing w:after="0" w:line="240" w:lineRule="auto"/>
        <w:rPr>
          <w:b/>
        </w:rPr>
      </w:pPr>
      <w:r w:rsidRPr="002614B4"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7A613C8F" wp14:editId="7F5D2FF5">
            <wp:simplePos x="0" y="0"/>
            <wp:positionH relativeFrom="margin">
              <wp:posOffset>-63500</wp:posOffset>
            </wp:positionH>
            <wp:positionV relativeFrom="margin">
              <wp:posOffset>-243840</wp:posOffset>
            </wp:positionV>
            <wp:extent cx="1482725" cy="78232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pital-Safety-Score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65D85" w:rsidRPr="002614B4">
        <w:rPr>
          <w:noProof/>
        </w:rPr>
        <w:drawing>
          <wp:anchor distT="0" distB="0" distL="114300" distR="114300" simplePos="0" relativeHeight="251659264" behindDoc="0" locked="0" layoutInCell="1" allowOverlap="1" wp14:anchorId="3505CD81" wp14:editId="3AA99F50">
            <wp:simplePos x="0" y="0"/>
            <wp:positionH relativeFrom="column">
              <wp:posOffset>4214495</wp:posOffset>
            </wp:positionH>
            <wp:positionV relativeFrom="paragraph">
              <wp:posOffset>-342900</wp:posOffset>
            </wp:positionV>
            <wp:extent cx="2016125" cy="597535"/>
            <wp:effectExtent l="0" t="0" r="3175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pfrog Logo_NoTa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D5C666" w14:textId="77777777" w:rsidR="00E21B6D" w:rsidRPr="002614B4" w:rsidRDefault="00E21B6D" w:rsidP="00726FFA">
      <w:pPr>
        <w:spacing w:after="0" w:line="240" w:lineRule="auto"/>
        <w:rPr>
          <w:b/>
        </w:rPr>
      </w:pPr>
    </w:p>
    <w:p w14:paraId="3E29243A" w14:textId="77777777" w:rsidR="00813227" w:rsidRPr="002614B4" w:rsidRDefault="00813227" w:rsidP="00726FFA">
      <w:pPr>
        <w:spacing w:after="0" w:line="240" w:lineRule="auto"/>
        <w:jc w:val="center"/>
        <w:rPr>
          <w:b/>
          <w:sz w:val="28"/>
        </w:rPr>
      </w:pPr>
    </w:p>
    <w:p w14:paraId="4B5F917F" w14:textId="4F77006B" w:rsidR="00B51175" w:rsidRPr="002614B4" w:rsidRDefault="00495EDC" w:rsidP="00495ED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  <w:r w:rsidR="007A0699" w:rsidRPr="002614B4">
        <w:rPr>
          <w:b/>
          <w:sz w:val="28"/>
        </w:rPr>
        <w:t>PURCHASER</w:t>
      </w:r>
      <w:r w:rsidR="00FF3F40" w:rsidRPr="002614B4">
        <w:rPr>
          <w:b/>
          <w:sz w:val="28"/>
        </w:rPr>
        <w:t xml:space="preserve"> TOOLKIT</w:t>
      </w:r>
    </w:p>
    <w:p w14:paraId="2C5D9978" w14:textId="77777777" w:rsidR="00EB2894" w:rsidRPr="002614B4" w:rsidRDefault="00AF14B8" w:rsidP="00726FFA">
      <w:pPr>
        <w:spacing w:after="0" w:line="240" w:lineRule="auto"/>
        <w:jc w:val="center"/>
        <w:rPr>
          <w:sz w:val="28"/>
        </w:rPr>
      </w:pPr>
      <w:r w:rsidRPr="002614B4">
        <w:rPr>
          <w:b/>
          <w:i/>
          <w:sz w:val="28"/>
        </w:rPr>
        <w:t>Contracting with Health Plans</w:t>
      </w:r>
    </w:p>
    <w:p w14:paraId="1DD54C64" w14:textId="77777777" w:rsidR="00487793" w:rsidRPr="002614B4" w:rsidRDefault="00487793" w:rsidP="00726FFA">
      <w:pPr>
        <w:spacing w:after="0" w:line="240" w:lineRule="auto"/>
        <w:jc w:val="center"/>
        <w:rPr>
          <w:b/>
          <w:i/>
        </w:rPr>
      </w:pPr>
    </w:p>
    <w:p w14:paraId="1AE049DC" w14:textId="77777777" w:rsidR="002E5FCC" w:rsidRPr="002614B4" w:rsidRDefault="00AF14B8" w:rsidP="00726FFA">
      <w:pPr>
        <w:spacing w:after="0" w:line="240" w:lineRule="auto"/>
        <w:jc w:val="center"/>
      </w:pPr>
      <w:r w:rsidRPr="002614B4">
        <w:rPr>
          <w:i/>
        </w:rPr>
        <w:t>To serve employers that are purchasing health</w:t>
      </w:r>
      <w:r w:rsidR="00F65D85" w:rsidRPr="002614B4">
        <w:rPr>
          <w:i/>
        </w:rPr>
        <w:t xml:space="preserve"> </w:t>
      </w:r>
      <w:r w:rsidRPr="002614B4">
        <w:rPr>
          <w:i/>
        </w:rPr>
        <w:t xml:space="preserve">care on behalf of their employees, we offer the following guidance on contracting with health plans. </w:t>
      </w:r>
      <w:r w:rsidR="002E5FCC" w:rsidRPr="002614B4">
        <w:rPr>
          <w:i/>
        </w:rPr>
        <w:t xml:space="preserve">While different approaches will work for different employers, it’s important to know that hospitals pay more attention </w:t>
      </w:r>
      <w:r w:rsidR="002E5FCC" w:rsidRPr="002614B4">
        <w:rPr>
          <w:b/>
          <w:i/>
        </w:rPr>
        <w:t>if employers work together</w:t>
      </w:r>
      <w:r w:rsidR="002E5FCC" w:rsidRPr="002614B4">
        <w:rPr>
          <w:i/>
        </w:rPr>
        <w:t xml:space="preserve">. Many communities already have a coalition of like-minded employers and purchasers that are committed to driving transparency and improvement in local hospitals. Visit our website for more information about the </w:t>
      </w:r>
      <w:hyperlink r:id="rId10" w:history="1">
        <w:r w:rsidR="002E5FCC" w:rsidRPr="002614B4">
          <w:rPr>
            <w:rStyle w:val="Hyperlink"/>
            <w:i/>
          </w:rPr>
          <w:t xml:space="preserve">Leapfrog Regional </w:t>
        </w:r>
        <w:r w:rsidR="002614B4" w:rsidRPr="002614B4">
          <w:rPr>
            <w:rStyle w:val="Hyperlink"/>
            <w:i/>
          </w:rPr>
          <w:t>Leaders</w:t>
        </w:r>
      </w:hyperlink>
      <w:r w:rsidR="002E5FCC" w:rsidRPr="002614B4">
        <w:rPr>
          <w:i/>
        </w:rPr>
        <w:t xml:space="preserve"> in your area.</w:t>
      </w:r>
    </w:p>
    <w:p w14:paraId="297E32DF" w14:textId="77777777" w:rsidR="00717C9B" w:rsidRPr="002614B4" w:rsidRDefault="00717C9B" w:rsidP="00726FFA">
      <w:pPr>
        <w:spacing w:after="0" w:line="240" w:lineRule="auto"/>
        <w:rPr>
          <w:b/>
          <w:i/>
        </w:rPr>
      </w:pPr>
    </w:p>
    <w:p w14:paraId="69726675" w14:textId="77777777" w:rsidR="00AF14B8" w:rsidRPr="002614B4" w:rsidRDefault="00AF14B8" w:rsidP="00726FFA">
      <w:pPr>
        <w:spacing w:after="0" w:line="240" w:lineRule="auto"/>
        <w:rPr>
          <w:b/>
          <w:i/>
        </w:rPr>
      </w:pPr>
    </w:p>
    <w:p w14:paraId="64D1815A" w14:textId="77777777" w:rsidR="007248BE" w:rsidRPr="00726FFA" w:rsidRDefault="007248BE" w:rsidP="00726FFA">
      <w:pPr>
        <w:spacing w:after="0" w:line="240" w:lineRule="auto"/>
        <w:rPr>
          <w:b/>
          <w:sz w:val="24"/>
          <w:szCs w:val="24"/>
          <w:u w:val="single"/>
        </w:rPr>
      </w:pPr>
      <w:r w:rsidRPr="00726FFA">
        <w:rPr>
          <w:b/>
          <w:sz w:val="24"/>
          <w:szCs w:val="24"/>
          <w:u w:val="single"/>
        </w:rPr>
        <w:t>SHIFT HOSPITAL PERFORMANCE</w:t>
      </w:r>
    </w:p>
    <w:p w14:paraId="545C3448" w14:textId="77777777" w:rsidR="007248BE" w:rsidRPr="002614B4" w:rsidRDefault="002E5FCC" w:rsidP="00726FFA">
      <w:pPr>
        <w:spacing w:after="0" w:line="240" w:lineRule="auto"/>
        <w:rPr>
          <w:b/>
        </w:rPr>
      </w:pPr>
      <w:r w:rsidRPr="002614B4">
        <w:rPr>
          <w:noProof/>
        </w:rPr>
        <w:drawing>
          <wp:anchor distT="0" distB="0" distL="114300" distR="114300" simplePos="0" relativeHeight="251651584" behindDoc="0" locked="0" layoutInCell="1" allowOverlap="1" wp14:anchorId="1851848D" wp14:editId="0A56C974">
            <wp:simplePos x="0" y="0"/>
            <wp:positionH relativeFrom="margin">
              <wp:posOffset>2859405</wp:posOffset>
            </wp:positionH>
            <wp:positionV relativeFrom="margin">
              <wp:posOffset>3474720</wp:posOffset>
            </wp:positionV>
            <wp:extent cx="3169920" cy="2311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E9F25" w14:textId="77777777" w:rsidR="00AF14B8" w:rsidRPr="002614B4" w:rsidRDefault="00AF14B8" w:rsidP="00726FFA">
      <w:pPr>
        <w:spacing w:after="0" w:line="240" w:lineRule="auto"/>
        <w:rPr>
          <w:b/>
        </w:rPr>
      </w:pPr>
      <w:r w:rsidRPr="002614B4">
        <w:rPr>
          <w:b/>
        </w:rPr>
        <w:t>A Commitment to Transparency, Accountability and Improvement</w:t>
      </w:r>
    </w:p>
    <w:p w14:paraId="133C4B5A" w14:textId="77777777" w:rsidR="00AF14B8" w:rsidRPr="002614B4" w:rsidRDefault="00CE6D2F" w:rsidP="00726FFA">
      <w:pPr>
        <w:spacing w:after="0" w:line="240" w:lineRule="auto"/>
      </w:pPr>
      <w:r w:rsidRPr="002614B4"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7B0B68" wp14:editId="11716B54">
                <wp:simplePos x="0" y="0"/>
                <wp:positionH relativeFrom="margin">
                  <wp:posOffset>2895600</wp:posOffset>
                </wp:positionH>
                <wp:positionV relativeFrom="margin">
                  <wp:posOffset>5783580</wp:posOffset>
                </wp:positionV>
                <wp:extent cx="3261360" cy="25146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7F625" w14:textId="77777777" w:rsidR="002E5FCC" w:rsidRPr="00CE6D2F" w:rsidRDefault="002E5FCC" w:rsidP="00CE6D2F">
                            <w:pPr>
                              <w:rPr>
                                <w:rFonts w:ascii="Lato" w:hAnsi="Lato"/>
                                <w:sz w:val="16"/>
                              </w:rPr>
                            </w:pPr>
                            <w:r w:rsidRPr="00CE6D2F">
                              <w:rPr>
                                <w:rFonts w:ascii="Lato" w:hAnsi="Lato"/>
                                <w:color w:val="365F91" w:themeColor="accent1" w:themeShade="BF"/>
                                <w:sz w:val="16"/>
                                <w:u w:val="single"/>
                              </w:rPr>
                              <w:t>Steering Employees Toward Safer Care</w:t>
                            </w:r>
                            <w:r w:rsidRPr="00CE6D2F">
                              <w:rPr>
                                <w:rFonts w:ascii="Lato" w:hAnsi="Lato"/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 w:rsidRPr="00CE6D2F">
                              <w:rPr>
                                <w:rFonts w:ascii="Lato" w:hAnsi="Lato"/>
                                <w:sz w:val="16"/>
                              </w:rPr>
                              <w:t>Altarum</w:t>
                            </w:r>
                            <w:proofErr w:type="spellEnd"/>
                            <w:r w:rsidRPr="00CE6D2F">
                              <w:rPr>
                                <w:rFonts w:ascii="Lato" w:hAnsi="Lato"/>
                                <w:sz w:val="16"/>
                              </w:rPr>
                              <w:t xml:space="preserve"> Institute. 2012</w:t>
                            </w:r>
                          </w:p>
                          <w:p w14:paraId="596A9DD1" w14:textId="77777777" w:rsidR="002E5FCC" w:rsidRPr="00CE6D2F" w:rsidRDefault="002E5FCC" w:rsidP="00CE6D2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B0B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455.4pt;width:256.8pt;height:19.8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" stroked="f">
                <v:textbox>
                  <w:txbxContent>
                    <w:p w14:paraId="11B7F625" w14:textId="77777777" w:rsidR="002E5FCC" w:rsidRPr="00CE6D2F" w:rsidRDefault="002E5FCC" w:rsidP="00CE6D2F">
                      <w:pPr>
                        <w:rPr>
                          <w:rFonts w:ascii="Lato" w:hAnsi="Lato"/>
                          <w:sz w:val="16"/>
                        </w:rPr>
                      </w:pPr>
                      <w:r w:rsidRPr="00CE6D2F">
                        <w:rPr>
                          <w:rFonts w:ascii="Lato" w:hAnsi="Lato"/>
                          <w:color w:val="365F91" w:themeColor="accent1" w:themeShade="BF"/>
                          <w:sz w:val="16"/>
                          <w:u w:val="single"/>
                        </w:rPr>
                        <w:t>Steering Employees Toward Safer Care</w:t>
                      </w:r>
                      <w:r w:rsidRPr="00CE6D2F">
                        <w:rPr>
                          <w:rFonts w:ascii="Lato" w:hAnsi="Lato"/>
                          <w:sz w:val="16"/>
                        </w:rPr>
                        <w:t xml:space="preserve">. </w:t>
                      </w:r>
                      <w:proofErr w:type="spellStart"/>
                      <w:r w:rsidRPr="00CE6D2F">
                        <w:rPr>
                          <w:rFonts w:ascii="Lato" w:hAnsi="Lato"/>
                          <w:sz w:val="16"/>
                        </w:rPr>
                        <w:t>Altarum</w:t>
                      </w:r>
                      <w:proofErr w:type="spellEnd"/>
                      <w:r w:rsidRPr="00CE6D2F">
                        <w:rPr>
                          <w:rFonts w:ascii="Lato" w:hAnsi="Lato"/>
                          <w:sz w:val="16"/>
                        </w:rPr>
                        <w:t xml:space="preserve"> Institute. 2012</w:t>
                      </w:r>
                    </w:p>
                    <w:p w14:paraId="596A9DD1" w14:textId="77777777" w:rsidR="002E5FCC" w:rsidRPr="00CE6D2F" w:rsidRDefault="002E5FCC" w:rsidP="00CE6D2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F5E98" w:rsidRPr="002614B4">
        <w:t xml:space="preserve">Payers and consumers </w:t>
      </w:r>
      <w:r w:rsidR="007248BE" w:rsidRPr="002614B4">
        <w:t>both</w:t>
      </w:r>
      <w:r w:rsidR="004F5E98" w:rsidRPr="002614B4">
        <w:t xml:space="preserve"> need to know the rates of serious medical errors like mortality rates, falls, infection rates, or surgical mistakes. </w:t>
      </w:r>
      <w:r w:rsidR="00AF14B8" w:rsidRPr="002614B4">
        <w:t xml:space="preserve">Ask plans to demonstrate their </w:t>
      </w:r>
      <w:r w:rsidR="00AF14B8" w:rsidRPr="002614B4">
        <w:rPr>
          <w:b/>
        </w:rPr>
        <w:t>commitment to transparency and quality reporting</w:t>
      </w:r>
      <w:r w:rsidR="00AF14B8" w:rsidRPr="002614B4">
        <w:t xml:space="preserve"> by </w:t>
      </w:r>
      <w:r w:rsidR="007248BE" w:rsidRPr="002614B4">
        <w:t xml:space="preserve">requiring that </w:t>
      </w:r>
      <w:r w:rsidR="00AF14B8" w:rsidRPr="002614B4">
        <w:t xml:space="preserve">network hospitals report key safety and quality data to publicly-accessible databases like the Leapfrog Hospital Survey. </w:t>
      </w:r>
      <w:r w:rsidR="004F5E98" w:rsidRPr="002614B4">
        <w:t xml:space="preserve">Plans </w:t>
      </w:r>
      <w:r w:rsidR="007248BE" w:rsidRPr="002614B4">
        <w:t>can</w:t>
      </w:r>
      <w:r w:rsidR="004F5E98" w:rsidRPr="002614B4">
        <w:t xml:space="preserve"> offer a financial incentive to those hospitals that choose to report, or penalize or exclude those that do not.</w:t>
      </w:r>
    </w:p>
    <w:p w14:paraId="0B236762" w14:textId="77777777" w:rsidR="00AF14B8" w:rsidRPr="002614B4" w:rsidRDefault="00AF14B8" w:rsidP="00726FFA">
      <w:pPr>
        <w:spacing w:after="0" w:line="240" w:lineRule="auto"/>
      </w:pPr>
    </w:p>
    <w:p w14:paraId="6841CA1B" w14:textId="77777777" w:rsidR="00AF14B8" w:rsidRPr="002614B4" w:rsidRDefault="00AF14B8" w:rsidP="00726FFA">
      <w:pPr>
        <w:spacing w:after="0" w:line="240" w:lineRule="auto"/>
      </w:pPr>
      <w:r w:rsidRPr="002614B4">
        <w:t xml:space="preserve">Ask plans to demonstrate they </w:t>
      </w:r>
      <w:r w:rsidRPr="002614B4">
        <w:rPr>
          <w:b/>
        </w:rPr>
        <w:t>enforce accountability</w:t>
      </w:r>
      <w:r w:rsidRPr="002614B4">
        <w:t xml:space="preserve"> for hospitals to improve their safety and quality practices. For example, you can ask your health plan to:</w:t>
      </w:r>
    </w:p>
    <w:p w14:paraId="3EF34DCB" w14:textId="77777777" w:rsidR="002E5FCC" w:rsidRPr="002614B4" w:rsidRDefault="002E5FCC" w:rsidP="00726FFA">
      <w:pPr>
        <w:spacing w:after="0" w:line="240" w:lineRule="auto"/>
      </w:pPr>
    </w:p>
    <w:p w14:paraId="16FC3260" w14:textId="20FFBE74" w:rsidR="00AF14B8" w:rsidRPr="002614B4" w:rsidRDefault="00AF14B8" w:rsidP="00726FFA">
      <w:pPr>
        <w:pStyle w:val="ListParagraph"/>
        <w:numPr>
          <w:ilvl w:val="0"/>
          <w:numId w:val="6"/>
        </w:numPr>
        <w:spacing w:after="0" w:line="240" w:lineRule="auto"/>
      </w:pPr>
      <w:r w:rsidRPr="002614B4">
        <w:t xml:space="preserve">Include a penalty for network hospitals that receive low </w:t>
      </w:r>
      <w:r w:rsidR="00726FFA">
        <w:t>Leapfrog Hospital Safety Grades</w:t>
      </w:r>
      <w:r w:rsidRPr="002614B4">
        <w:t xml:space="preserve"> or perform poorly on the Leapfrog Hospital Survey</w:t>
      </w:r>
      <w:r w:rsidR="004F5E98" w:rsidRPr="002614B4">
        <w:t xml:space="preserve">. </w:t>
      </w:r>
      <w:r w:rsidR="00553281" w:rsidRPr="002614B4">
        <w:t xml:space="preserve">Conversely, health plans can offer a bonus to hospitals that </w:t>
      </w:r>
      <w:r w:rsidR="002B6F4E" w:rsidRPr="002614B4">
        <w:t>meet</w:t>
      </w:r>
      <w:r w:rsidR="00553281" w:rsidRPr="002614B4">
        <w:t xml:space="preserve"> certain quality and safety standards. </w:t>
      </w:r>
    </w:p>
    <w:p w14:paraId="6425473E" w14:textId="77777777" w:rsidR="00AF14B8" w:rsidRPr="002614B4" w:rsidRDefault="00AF14B8" w:rsidP="00726FFA">
      <w:pPr>
        <w:pStyle w:val="ListParagraph"/>
        <w:numPr>
          <w:ilvl w:val="0"/>
          <w:numId w:val="6"/>
        </w:numPr>
        <w:spacing w:after="0" w:line="240" w:lineRule="auto"/>
      </w:pPr>
      <w:r w:rsidRPr="002614B4">
        <w:t>Require that the plan’s quality or medical directors meet annually with network hospital executives to discuss opportunities for improvement</w:t>
      </w:r>
      <w:r w:rsidR="002B6F4E" w:rsidRPr="002614B4">
        <w:t>.</w:t>
      </w:r>
    </w:p>
    <w:p w14:paraId="052B0279" w14:textId="24651D52" w:rsidR="00CE6D2F" w:rsidRPr="002614B4" w:rsidRDefault="00CE6D2F" w:rsidP="00726FFA">
      <w:pPr>
        <w:pStyle w:val="ListParagraph"/>
        <w:numPr>
          <w:ilvl w:val="0"/>
          <w:numId w:val="6"/>
        </w:numPr>
        <w:spacing w:after="0" w:line="240" w:lineRule="auto"/>
      </w:pPr>
      <w:r w:rsidRPr="002614B4">
        <w:t>Require that the hospital abides to a “</w:t>
      </w:r>
      <w:hyperlink r:id="rId12" w:history="1">
        <w:r w:rsidRPr="00726FFA">
          <w:rPr>
            <w:rStyle w:val="Hyperlink"/>
          </w:rPr>
          <w:t>Never Events</w:t>
        </w:r>
      </w:hyperlink>
      <w:r w:rsidRPr="002614B4">
        <w:t xml:space="preserve">” policy for serious medical errors that includes the following actions: </w:t>
      </w:r>
    </w:p>
    <w:p w14:paraId="5704AB3D" w14:textId="77777777" w:rsidR="00726FFA" w:rsidRDefault="00726FFA" w:rsidP="00726FFA">
      <w:pPr>
        <w:pStyle w:val="ListParagraph"/>
        <w:numPr>
          <w:ilvl w:val="0"/>
          <w:numId w:val="8"/>
        </w:numPr>
        <w:spacing w:after="0" w:line="240" w:lineRule="auto"/>
        <w:sectPr w:rsidR="00726FFA" w:rsidSect="001F2596"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BA2C78" w14:textId="47BA7419" w:rsidR="00726FFA" w:rsidRDefault="00726FFA" w:rsidP="00726FFA">
      <w:pPr>
        <w:pStyle w:val="ListParagraph"/>
        <w:numPr>
          <w:ilvl w:val="0"/>
          <w:numId w:val="8"/>
        </w:numPr>
        <w:spacing w:after="0" w:line="240" w:lineRule="auto"/>
      </w:pPr>
      <w:r>
        <w:t>Apologize to the patient and family</w:t>
      </w:r>
    </w:p>
    <w:p w14:paraId="1848ADFF" w14:textId="2BC33B0D" w:rsidR="00726FFA" w:rsidRDefault="00726FFA" w:rsidP="00726FF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Waive all costs </w:t>
      </w:r>
    </w:p>
    <w:p w14:paraId="3747BE2B" w14:textId="7BBD3EEE" w:rsidR="00726FFA" w:rsidRDefault="00726FFA" w:rsidP="00726FFA">
      <w:pPr>
        <w:pStyle w:val="ListParagraph"/>
        <w:numPr>
          <w:ilvl w:val="0"/>
          <w:numId w:val="8"/>
        </w:numPr>
        <w:spacing w:after="0" w:line="240" w:lineRule="auto"/>
      </w:pPr>
      <w:r>
        <w:t>Report to an external agency</w:t>
      </w:r>
    </w:p>
    <w:p w14:paraId="565749BE" w14:textId="26242F2B" w:rsidR="00726FFA" w:rsidRDefault="00726FFA" w:rsidP="00726FF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Conduct a root-cause analysis </w:t>
      </w:r>
    </w:p>
    <w:p w14:paraId="6DB4DADB" w14:textId="1B6A7A6C" w:rsidR="00726FFA" w:rsidRDefault="00726FFA" w:rsidP="00726FFA">
      <w:pPr>
        <w:pStyle w:val="ListParagraph"/>
        <w:numPr>
          <w:ilvl w:val="0"/>
          <w:numId w:val="8"/>
        </w:numPr>
        <w:spacing w:after="0" w:line="240" w:lineRule="auto"/>
      </w:pPr>
      <w:r>
        <w:t>Interview patients and families</w:t>
      </w:r>
      <w:r>
        <w:t xml:space="preserve"> involved</w:t>
      </w:r>
    </w:p>
    <w:p w14:paraId="4E3D05C9" w14:textId="5EE74258" w:rsidR="00726FFA" w:rsidRDefault="00726FFA" w:rsidP="00726FF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Inform the patient and family of the action(s) that the hospital will take </w:t>
      </w:r>
    </w:p>
    <w:p w14:paraId="1613BE2C" w14:textId="68E92440" w:rsidR="00726FFA" w:rsidRDefault="00726FFA" w:rsidP="00726FF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Have a protocol in place to provide support for caregivers involved </w:t>
      </w:r>
    </w:p>
    <w:p w14:paraId="0E7362C6" w14:textId="532095DF" w:rsidR="00726FFA" w:rsidRDefault="00726FFA" w:rsidP="00726FFA">
      <w:pPr>
        <w:pStyle w:val="ListParagraph"/>
        <w:numPr>
          <w:ilvl w:val="0"/>
          <w:numId w:val="8"/>
        </w:numPr>
        <w:spacing w:after="0" w:line="240" w:lineRule="auto"/>
      </w:pPr>
      <w:r>
        <w:lastRenderedPageBreak/>
        <w:t xml:space="preserve">Perform an annual review to ensure compliance </w:t>
      </w:r>
    </w:p>
    <w:p w14:paraId="19F67F3F" w14:textId="2422780F" w:rsidR="00AF14B8" w:rsidRDefault="00726FFA" w:rsidP="00726FF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Make a copy of this policy available </w:t>
      </w:r>
    </w:p>
    <w:p w14:paraId="0F317FFA" w14:textId="77777777" w:rsidR="00726FFA" w:rsidRDefault="00726FFA" w:rsidP="00726FFA">
      <w:pPr>
        <w:pStyle w:val="ListParagraph"/>
        <w:spacing w:after="0" w:line="240" w:lineRule="auto"/>
        <w:ind w:left="1080"/>
        <w:sectPr w:rsidR="00726FFA" w:rsidSect="00726FF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130770" w14:textId="692A19ED" w:rsidR="00726FFA" w:rsidRPr="002614B4" w:rsidRDefault="00726FFA" w:rsidP="00726FFA">
      <w:pPr>
        <w:pStyle w:val="ListParagraph"/>
        <w:spacing w:after="0" w:line="240" w:lineRule="auto"/>
        <w:ind w:left="1080"/>
      </w:pPr>
    </w:p>
    <w:p w14:paraId="207C5FB7" w14:textId="0FB0F95E" w:rsidR="002B6F4E" w:rsidRPr="00726FFA" w:rsidRDefault="002B6F4E" w:rsidP="00726FFA">
      <w:pPr>
        <w:spacing w:after="0" w:line="240" w:lineRule="auto"/>
        <w:rPr>
          <w:b/>
          <w:sz w:val="24"/>
          <w:szCs w:val="24"/>
          <w:u w:val="single"/>
        </w:rPr>
      </w:pPr>
      <w:r w:rsidRPr="00726FFA">
        <w:rPr>
          <w:b/>
          <w:sz w:val="24"/>
          <w:szCs w:val="24"/>
          <w:u w:val="single"/>
        </w:rPr>
        <w:t>SHIFT CONSUMER CHOICE</w:t>
      </w:r>
    </w:p>
    <w:p w14:paraId="135B45D2" w14:textId="77777777" w:rsidR="00726FFA" w:rsidRPr="002614B4" w:rsidRDefault="00726FFA" w:rsidP="00726FFA">
      <w:pPr>
        <w:spacing w:after="0" w:line="240" w:lineRule="auto"/>
        <w:rPr>
          <w:b/>
        </w:rPr>
      </w:pPr>
    </w:p>
    <w:p w14:paraId="26DFAC5C" w14:textId="68DF506B" w:rsidR="00386D73" w:rsidRPr="002614B4" w:rsidRDefault="00386D73" w:rsidP="00726FFA">
      <w:pPr>
        <w:spacing w:after="0" w:line="240" w:lineRule="auto"/>
        <w:rPr>
          <w:b/>
        </w:rPr>
      </w:pPr>
      <w:r w:rsidRPr="002614B4">
        <w:rPr>
          <w:b/>
        </w:rPr>
        <w:t>Communicating with Enrollees</w:t>
      </w:r>
    </w:p>
    <w:p w14:paraId="6DE41A50" w14:textId="77777777" w:rsidR="002B6F4E" w:rsidRPr="002614B4" w:rsidRDefault="002B6F4E" w:rsidP="00726FFA">
      <w:pPr>
        <w:spacing w:after="0" w:line="240" w:lineRule="auto"/>
      </w:pPr>
      <w:r w:rsidRPr="002614B4">
        <w:t xml:space="preserve">Employers can play the crucial role of alerting employees about hospital safety. By building awareness that employees have a choice of hospital, employers can have a significant impact on the health outcomes of their employees. </w:t>
      </w:r>
    </w:p>
    <w:p w14:paraId="62D2678C" w14:textId="77777777" w:rsidR="002B6F4E" w:rsidRPr="002614B4" w:rsidRDefault="002B6F4E" w:rsidP="00726FFA">
      <w:pPr>
        <w:spacing w:after="0" w:line="240" w:lineRule="auto"/>
      </w:pPr>
    </w:p>
    <w:p w14:paraId="3CDB42B2" w14:textId="5A1D1387" w:rsidR="00386D73" w:rsidRPr="002614B4" w:rsidRDefault="00726FFA" w:rsidP="00726FFA">
      <w:pPr>
        <w:spacing w:after="0" w:line="240" w:lineRule="auto"/>
      </w:pPr>
      <w:r w:rsidRPr="002614B4">
        <w:rPr>
          <w:noProof/>
        </w:rPr>
        <w:drawing>
          <wp:anchor distT="0" distB="0" distL="114300" distR="114300" simplePos="0" relativeHeight="251659776" behindDoc="0" locked="0" layoutInCell="1" allowOverlap="1" wp14:anchorId="472F2120" wp14:editId="40D0F318">
            <wp:simplePos x="0" y="0"/>
            <wp:positionH relativeFrom="margin">
              <wp:posOffset>2994025</wp:posOffset>
            </wp:positionH>
            <wp:positionV relativeFrom="margin">
              <wp:posOffset>1732280</wp:posOffset>
            </wp:positionV>
            <wp:extent cx="3310890" cy="2339340"/>
            <wp:effectExtent l="0" t="0" r="381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D2F" w:rsidRPr="002614B4"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BFD3C8" wp14:editId="692C9345">
                <wp:simplePos x="0" y="0"/>
                <wp:positionH relativeFrom="margin">
                  <wp:posOffset>2948940</wp:posOffset>
                </wp:positionH>
                <wp:positionV relativeFrom="margin">
                  <wp:posOffset>4069080</wp:posOffset>
                </wp:positionV>
                <wp:extent cx="3261360" cy="25146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53714" w14:textId="77777777" w:rsidR="002E5FCC" w:rsidRPr="00CE6D2F" w:rsidRDefault="002E5FCC">
                            <w:pPr>
                              <w:rPr>
                                <w:rFonts w:ascii="Lato" w:hAnsi="Lato"/>
                                <w:sz w:val="16"/>
                              </w:rPr>
                            </w:pPr>
                            <w:r w:rsidRPr="00CE6D2F">
                              <w:rPr>
                                <w:rFonts w:ascii="Lato" w:hAnsi="Lato"/>
                                <w:color w:val="365F91" w:themeColor="accent1" w:themeShade="BF"/>
                                <w:sz w:val="16"/>
                                <w:u w:val="single"/>
                              </w:rPr>
                              <w:t>Steering Employees Toward Safer Care</w:t>
                            </w:r>
                            <w:r w:rsidRPr="00CE6D2F">
                              <w:rPr>
                                <w:rFonts w:ascii="Lato" w:hAnsi="Lato"/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 w:rsidRPr="00CE6D2F">
                              <w:rPr>
                                <w:rFonts w:ascii="Lato" w:hAnsi="Lato"/>
                                <w:sz w:val="16"/>
                              </w:rPr>
                              <w:t>Altarum</w:t>
                            </w:r>
                            <w:proofErr w:type="spellEnd"/>
                            <w:r w:rsidRPr="00CE6D2F">
                              <w:rPr>
                                <w:rFonts w:ascii="Lato" w:hAnsi="Lato"/>
                                <w:sz w:val="16"/>
                              </w:rPr>
                              <w:t xml:space="preserve"> Institute. 2012</w:t>
                            </w:r>
                          </w:p>
                          <w:p w14:paraId="611EA69F" w14:textId="77777777" w:rsidR="002E5FCC" w:rsidRPr="00CE6D2F" w:rsidRDefault="002E5FC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FD3C8" id="_x0000_s1027" type="#_x0000_t202" style="position:absolute;margin-left:232.2pt;margin-top:320.4pt;width:256.8pt;height:19.8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" stroked="f">
                <v:textbox>
                  <w:txbxContent>
                    <w:p w14:paraId="16053714" w14:textId="77777777" w:rsidR="002E5FCC" w:rsidRPr="00CE6D2F" w:rsidRDefault="002E5FCC">
                      <w:pPr>
                        <w:rPr>
                          <w:rFonts w:ascii="Lato" w:hAnsi="Lato"/>
                          <w:sz w:val="16"/>
                        </w:rPr>
                      </w:pPr>
                      <w:r w:rsidRPr="00CE6D2F">
                        <w:rPr>
                          <w:rFonts w:ascii="Lato" w:hAnsi="Lato"/>
                          <w:color w:val="365F91" w:themeColor="accent1" w:themeShade="BF"/>
                          <w:sz w:val="16"/>
                          <w:u w:val="single"/>
                        </w:rPr>
                        <w:t>Steering Employees Toward Safer Care</w:t>
                      </w:r>
                      <w:r w:rsidRPr="00CE6D2F">
                        <w:rPr>
                          <w:rFonts w:ascii="Lato" w:hAnsi="Lato"/>
                          <w:sz w:val="16"/>
                        </w:rPr>
                        <w:t xml:space="preserve">. </w:t>
                      </w:r>
                      <w:proofErr w:type="spellStart"/>
                      <w:r w:rsidRPr="00CE6D2F">
                        <w:rPr>
                          <w:rFonts w:ascii="Lato" w:hAnsi="Lato"/>
                          <w:sz w:val="16"/>
                        </w:rPr>
                        <w:t>Altarum</w:t>
                      </w:r>
                      <w:proofErr w:type="spellEnd"/>
                      <w:r w:rsidRPr="00CE6D2F">
                        <w:rPr>
                          <w:rFonts w:ascii="Lato" w:hAnsi="Lato"/>
                          <w:sz w:val="16"/>
                        </w:rPr>
                        <w:t xml:space="preserve"> Institute. 2012</w:t>
                      </w:r>
                    </w:p>
                    <w:p w14:paraId="611EA69F" w14:textId="77777777" w:rsidR="002E5FCC" w:rsidRPr="00CE6D2F" w:rsidRDefault="002E5FC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86D73" w:rsidRPr="002614B4">
        <w:t xml:space="preserve">Work with your health plan to define and implement an </w:t>
      </w:r>
      <w:r w:rsidR="00386D73" w:rsidRPr="002614B4">
        <w:rPr>
          <w:b/>
        </w:rPr>
        <w:t>enrollee communications strategy</w:t>
      </w:r>
      <w:r w:rsidR="00386D73" w:rsidRPr="002614B4">
        <w:t xml:space="preserve"> that educates enrollees about key issues of safety and quality in a meaningful and easy-to-understand way. Ask your plan to:</w:t>
      </w:r>
    </w:p>
    <w:p w14:paraId="429A8287" w14:textId="77777777" w:rsidR="002E5FCC" w:rsidRPr="002614B4" w:rsidRDefault="002E5FCC" w:rsidP="00726FFA">
      <w:pPr>
        <w:spacing w:after="0" w:line="240" w:lineRule="auto"/>
      </w:pPr>
    </w:p>
    <w:p w14:paraId="3C8E430B" w14:textId="3E755DFA" w:rsidR="00386D73" w:rsidRPr="002614B4" w:rsidRDefault="00386D73" w:rsidP="00726FFA">
      <w:pPr>
        <w:pStyle w:val="ListParagraph"/>
        <w:numPr>
          <w:ilvl w:val="0"/>
          <w:numId w:val="7"/>
        </w:numPr>
        <w:spacing w:after="0" w:line="240" w:lineRule="auto"/>
      </w:pPr>
      <w:r w:rsidRPr="002614B4">
        <w:t>Make Leapfrog Hospital Survey results</w:t>
      </w:r>
      <w:r w:rsidR="00EA0939" w:rsidRPr="002614B4">
        <w:t xml:space="preserve">, </w:t>
      </w:r>
      <w:r w:rsidR="002614B4">
        <w:t xml:space="preserve">Leapfrog </w:t>
      </w:r>
      <w:r w:rsidR="00EA0939" w:rsidRPr="002614B4">
        <w:t xml:space="preserve">Hospital Safety </w:t>
      </w:r>
      <w:r w:rsidR="002614B4">
        <w:t>Grades</w:t>
      </w:r>
      <w:r w:rsidR="00EA0939" w:rsidRPr="002614B4">
        <w:t>,</w:t>
      </w:r>
      <w:r w:rsidRPr="002614B4">
        <w:t xml:space="preserve"> and other data on network hospitals available to members electronically</w:t>
      </w:r>
      <w:r w:rsidR="00C8445C" w:rsidRPr="002614B4">
        <w:t>.</w:t>
      </w:r>
    </w:p>
    <w:p w14:paraId="38AEDA35" w14:textId="1A4EC214" w:rsidR="00EA0939" w:rsidRPr="002614B4" w:rsidRDefault="00EA0939" w:rsidP="00726FFA">
      <w:pPr>
        <w:pStyle w:val="ListParagraph"/>
        <w:numPr>
          <w:ilvl w:val="0"/>
          <w:numId w:val="7"/>
        </w:numPr>
        <w:spacing w:after="0" w:line="240" w:lineRule="auto"/>
      </w:pPr>
      <w:r w:rsidRPr="002614B4">
        <w:t>Create easy-to-use search tools for members to identify hospitals that are performing better on key indicators of patient safety and quality</w:t>
      </w:r>
      <w:r w:rsidR="00C8445C" w:rsidRPr="002614B4">
        <w:t>.</w:t>
      </w:r>
    </w:p>
    <w:p w14:paraId="26F5FB99" w14:textId="3D6785CC" w:rsidR="00EA0939" w:rsidRPr="002614B4" w:rsidRDefault="00EA0939" w:rsidP="00726FFA">
      <w:pPr>
        <w:pStyle w:val="ListParagraph"/>
        <w:numPr>
          <w:ilvl w:val="0"/>
          <w:numId w:val="7"/>
        </w:numPr>
        <w:spacing w:after="0" w:line="240" w:lineRule="auto"/>
      </w:pPr>
      <w:r w:rsidRPr="002614B4">
        <w:t>Design enrollee education materials that demonstrate the importance of being an empowered and informed consumer</w:t>
      </w:r>
      <w:r w:rsidR="00C8445C" w:rsidRPr="002614B4">
        <w:t>.</w:t>
      </w:r>
    </w:p>
    <w:p w14:paraId="45C1D5FA" w14:textId="63D4DC68" w:rsidR="00EA0939" w:rsidRPr="002614B4" w:rsidRDefault="00EA0939" w:rsidP="00726FFA">
      <w:pPr>
        <w:pStyle w:val="ListParagraph"/>
        <w:numPr>
          <w:ilvl w:val="0"/>
          <w:numId w:val="7"/>
        </w:numPr>
        <w:spacing w:after="0" w:line="240" w:lineRule="auto"/>
      </w:pPr>
      <w:r w:rsidRPr="002614B4">
        <w:t xml:space="preserve">Use digital and social media to engage members and keep them </w:t>
      </w:r>
      <w:proofErr w:type="gramStart"/>
      <w:r w:rsidRPr="002614B4">
        <w:t>up-to-date</w:t>
      </w:r>
      <w:proofErr w:type="gramEnd"/>
      <w:r w:rsidRPr="002614B4">
        <w:t xml:space="preserve"> on the latest information on patient safety</w:t>
      </w:r>
      <w:r w:rsidR="00C8445C" w:rsidRPr="002614B4">
        <w:t>.</w:t>
      </w:r>
    </w:p>
    <w:p w14:paraId="383AB6E8" w14:textId="77777777" w:rsidR="00F61E56" w:rsidRPr="002614B4" w:rsidRDefault="00F61E56" w:rsidP="00726FFA">
      <w:pPr>
        <w:spacing w:after="0" w:line="240" w:lineRule="auto"/>
      </w:pPr>
    </w:p>
    <w:p w14:paraId="3F87A904" w14:textId="77777777" w:rsidR="002B6F4E" w:rsidRPr="002614B4" w:rsidRDefault="002B6F4E" w:rsidP="00726FFA">
      <w:pPr>
        <w:spacing w:after="0" w:line="240" w:lineRule="auto"/>
      </w:pPr>
      <w:r w:rsidRPr="002614B4">
        <w:t xml:space="preserve">You can also help ensure that your employees are getting the safest care possible by working with your plan to design a benefit package that successfully steers employees and dependents toward hospitals that have demonstrated their commitment to transparency, accountability, and improvement. </w:t>
      </w:r>
    </w:p>
    <w:p w14:paraId="526BC3E9" w14:textId="77777777" w:rsidR="00F61E56" w:rsidRPr="002614B4" w:rsidRDefault="00C8445C" w:rsidP="00726FFA">
      <w:pPr>
        <w:spacing w:after="0" w:line="240" w:lineRule="auto"/>
        <w:jc w:val="center"/>
      </w:pPr>
      <w:r w:rsidRPr="002614B4">
        <w:t>__________________</w:t>
      </w:r>
    </w:p>
    <w:p w14:paraId="0B47AA19" w14:textId="77777777" w:rsidR="002B6F4E" w:rsidRPr="002614B4" w:rsidRDefault="002B6F4E" w:rsidP="00726FFA">
      <w:pPr>
        <w:spacing w:after="0" w:line="240" w:lineRule="auto"/>
      </w:pPr>
    </w:p>
    <w:p w14:paraId="7BFED5E9" w14:textId="63C019FB" w:rsidR="00C8445C" w:rsidRPr="002614B4" w:rsidRDefault="00C8445C" w:rsidP="00726FFA">
      <w:pPr>
        <w:spacing w:after="0" w:line="240" w:lineRule="auto"/>
        <w:jc w:val="center"/>
        <w:rPr>
          <w:b/>
          <w:sz w:val="18"/>
        </w:rPr>
      </w:pPr>
      <w:r w:rsidRPr="002614B4">
        <w:rPr>
          <w:b/>
          <w:sz w:val="18"/>
        </w:rPr>
        <w:t xml:space="preserve">For more information on how employers can work with health plans and hospitals to improve outcomes and lower costs, download the free white paper from The </w:t>
      </w:r>
      <w:proofErr w:type="spellStart"/>
      <w:r w:rsidRPr="002614B4">
        <w:rPr>
          <w:b/>
          <w:sz w:val="18"/>
        </w:rPr>
        <w:t>Altarum</w:t>
      </w:r>
      <w:proofErr w:type="spellEnd"/>
      <w:r w:rsidRPr="002614B4">
        <w:rPr>
          <w:b/>
          <w:sz w:val="18"/>
        </w:rPr>
        <w:t xml:space="preserve"> Institute, </w:t>
      </w:r>
      <w:hyperlink r:id="rId15" w:history="1">
        <w:r w:rsidRPr="002614B4">
          <w:rPr>
            <w:rStyle w:val="Hyperlink"/>
            <w:b/>
            <w:sz w:val="18"/>
          </w:rPr>
          <w:t>“Steering Employees Towa</w:t>
        </w:r>
        <w:r w:rsidRPr="002614B4">
          <w:rPr>
            <w:rStyle w:val="Hyperlink"/>
            <w:b/>
            <w:sz w:val="18"/>
          </w:rPr>
          <w:t>rd Safer Care.”</w:t>
        </w:r>
      </w:hyperlink>
      <w:r w:rsidR="002E5FCC" w:rsidRPr="002614B4">
        <w:rPr>
          <w:b/>
          <w:color w:val="FF0000"/>
          <w:sz w:val="18"/>
        </w:rPr>
        <w:t xml:space="preserve"> </w:t>
      </w:r>
    </w:p>
    <w:sectPr w:rsidR="00C8445C" w:rsidRPr="002614B4" w:rsidSect="00726FF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40548" w14:textId="77777777" w:rsidR="002E5FCC" w:rsidRDefault="002E5FCC" w:rsidP="00FF3F40">
      <w:pPr>
        <w:spacing w:after="0" w:line="240" w:lineRule="auto"/>
      </w:pPr>
      <w:r>
        <w:separator/>
      </w:r>
    </w:p>
  </w:endnote>
  <w:endnote w:type="continuationSeparator" w:id="0">
    <w:p w14:paraId="2E458AE4" w14:textId="77777777" w:rsidR="002E5FCC" w:rsidRDefault="002E5FCC" w:rsidP="00FF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CB962" w14:textId="2708D52C" w:rsidR="002E5FCC" w:rsidRPr="00B832B0" w:rsidRDefault="00726FFA" w:rsidP="00726FFA">
    <w:pPr>
      <w:pStyle w:val="Footer"/>
      <w:jc w:val="center"/>
      <w:rPr>
        <w:sz w:val="20"/>
        <w:szCs w:val="20"/>
      </w:rPr>
    </w:pPr>
    <w:r w:rsidRPr="00726FFA">
      <w:rPr>
        <w:sz w:val="20"/>
        <w:szCs w:val="20"/>
      </w:rPr>
      <w:t>info@leapfrog-group.org</w:t>
    </w:r>
    <w:r>
      <w:rPr>
        <w:sz w:val="20"/>
        <w:szCs w:val="20"/>
      </w:rPr>
      <w:t xml:space="preserve"> | </w:t>
    </w:r>
    <w:r w:rsidRPr="00726FFA">
      <w:rPr>
        <w:sz w:val="20"/>
        <w:szCs w:val="20"/>
      </w:rPr>
      <w:t>1775 K. Street, NW, Suite 400</w:t>
    </w:r>
    <w:r>
      <w:rPr>
        <w:sz w:val="20"/>
        <w:szCs w:val="20"/>
      </w:rPr>
      <w:t xml:space="preserve"> </w:t>
    </w:r>
    <w:r w:rsidRPr="00726FFA">
      <w:rPr>
        <w:sz w:val="20"/>
        <w:szCs w:val="20"/>
      </w:rPr>
      <w:t>Washington, DC 20006</w:t>
    </w:r>
    <w:r>
      <w:rPr>
        <w:sz w:val="20"/>
        <w:szCs w:val="20"/>
      </w:rPr>
      <w:t xml:space="preserve"> | www.leapfroggroup.org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AA251" w14:textId="77777777" w:rsidR="002E5FCC" w:rsidRDefault="002E5FCC" w:rsidP="00FF3F40">
      <w:pPr>
        <w:spacing w:after="0" w:line="240" w:lineRule="auto"/>
      </w:pPr>
      <w:r>
        <w:separator/>
      </w:r>
    </w:p>
  </w:footnote>
  <w:footnote w:type="continuationSeparator" w:id="0">
    <w:p w14:paraId="292F98E9" w14:textId="77777777" w:rsidR="002E5FCC" w:rsidRDefault="002E5FCC" w:rsidP="00FF3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6005"/>
    <w:multiLevelType w:val="hybridMultilevel"/>
    <w:tmpl w:val="D9DA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2373"/>
    <w:multiLevelType w:val="hybridMultilevel"/>
    <w:tmpl w:val="01CC3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A22D8"/>
    <w:multiLevelType w:val="hybridMultilevel"/>
    <w:tmpl w:val="F9A28114"/>
    <w:lvl w:ilvl="0" w:tplc="7F5A1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84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A3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06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80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CE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8A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64D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E8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2A7D6E"/>
    <w:multiLevelType w:val="hybridMultilevel"/>
    <w:tmpl w:val="4CC6D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D17CEB"/>
    <w:multiLevelType w:val="hybridMultilevel"/>
    <w:tmpl w:val="4E80D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BB5106"/>
    <w:multiLevelType w:val="hybridMultilevel"/>
    <w:tmpl w:val="32C07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72011"/>
    <w:multiLevelType w:val="hybridMultilevel"/>
    <w:tmpl w:val="9D88D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84B5A"/>
    <w:multiLevelType w:val="hybridMultilevel"/>
    <w:tmpl w:val="0852A1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AD"/>
    <w:rsid w:val="0000464B"/>
    <w:rsid w:val="000121B1"/>
    <w:rsid w:val="00050224"/>
    <w:rsid w:val="00050534"/>
    <w:rsid w:val="00064575"/>
    <w:rsid w:val="000850A6"/>
    <w:rsid w:val="000962F9"/>
    <w:rsid w:val="00096ED7"/>
    <w:rsid w:val="000A6629"/>
    <w:rsid w:val="000B5E6E"/>
    <w:rsid w:val="0013367D"/>
    <w:rsid w:val="00133AA5"/>
    <w:rsid w:val="00166BF5"/>
    <w:rsid w:val="001D26F1"/>
    <w:rsid w:val="001D74CF"/>
    <w:rsid w:val="001F2596"/>
    <w:rsid w:val="001F3F14"/>
    <w:rsid w:val="002459AF"/>
    <w:rsid w:val="0025427E"/>
    <w:rsid w:val="002614B4"/>
    <w:rsid w:val="002B6F4E"/>
    <w:rsid w:val="002E5FCC"/>
    <w:rsid w:val="002F4E9D"/>
    <w:rsid w:val="00301F55"/>
    <w:rsid w:val="0030545C"/>
    <w:rsid w:val="003430B5"/>
    <w:rsid w:val="00386D73"/>
    <w:rsid w:val="003D3E94"/>
    <w:rsid w:val="003D5B8E"/>
    <w:rsid w:val="003E19A3"/>
    <w:rsid w:val="003E2A1D"/>
    <w:rsid w:val="00412872"/>
    <w:rsid w:val="00487793"/>
    <w:rsid w:val="00495EDC"/>
    <w:rsid w:val="004A4393"/>
    <w:rsid w:val="004B0A16"/>
    <w:rsid w:val="004B567B"/>
    <w:rsid w:val="004F1A51"/>
    <w:rsid w:val="004F593F"/>
    <w:rsid w:val="004F5E98"/>
    <w:rsid w:val="00507232"/>
    <w:rsid w:val="00507F9B"/>
    <w:rsid w:val="0054476B"/>
    <w:rsid w:val="00553281"/>
    <w:rsid w:val="005A1F22"/>
    <w:rsid w:val="005B6174"/>
    <w:rsid w:val="00613E24"/>
    <w:rsid w:val="0063655A"/>
    <w:rsid w:val="006441F5"/>
    <w:rsid w:val="00685BA7"/>
    <w:rsid w:val="006D385B"/>
    <w:rsid w:val="006F6483"/>
    <w:rsid w:val="00717C9B"/>
    <w:rsid w:val="00721156"/>
    <w:rsid w:val="007248BE"/>
    <w:rsid w:val="00726FFA"/>
    <w:rsid w:val="00734C38"/>
    <w:rsid w:val="00762FB9"/>
    <w:rsid w:val="00765D4E"/>
    <w:rsid w:val="00786BF7"/>
    <w:rsid w:val="007A0699"/>
    <w:rsid w:val="0080321E"/>
    <w:rsid w:val="00813227"/>
    <w:rsid w:val="0084128E"/>
    <w:rsid w:val="0084255A"/>
    <w:rsid w:val="008725C5"/>
    <w:rsid w:val="008910ED"/>
    <w:rsid w:val="008A11D1"/>
    <w:rsid w:val="008B766C"/>
    <w:rsid w:val="008E2DC0"/>
    <w:rsid w:val="008F5A29"/>
    <w:rsid w:val="008F6B28"/>
    <w:rsid w:val="00905C0E"/>
    <w:rsid w:val="009C5CED"/>
    <w:rsid w:val="009D5BDD"/>
    <w:rsid w:val="00A06E03"/>
    <w:rsid w:val="00A17273"/>
    <w:rsid w:val="00A26DCE"/>
    <w:rsid w:val="00A327A2"/>
    <w:rsid w:val="00A54230"/>
    <w:rsid w:val="00A81F53"/>
    <w:rsid w:val="00A91599"/>
    <w:rsid w:val="00AA4E98"/>
    <w:rsid w:val="00AF14B8"/>
    <w:rsid w:val="00B16179"/>
    <w:rsid w:val="00B21172"/>
    <w:rsid w:val="00B34F7E"/>
    <w:rsid w:val="00B51175"/>
    <w:rsid w:val="00B66683"/>
    <w:rsid w:val="00B832B0"/>
    <w:rsid w:val="00B9140C"/>
    <w:rsid w:val="00B94BCC"/>
    <w:rsid w:val="00B97148"/>
    <w:rsid w:val="00BA1C66"/>
    <w:rsid w:val="00BA5467"/>
    <w:rsid w:val="00BD1B91"/>
    <w:rsid w:val="00C35FA3"/>
    <w:rsid w:val="00C459D1"/>
    <w:rsid w:val="00C8445C"/>
    <w:rsid w:val="00C91DAE"/>
    <w:rsid w:val="00C922C1"/>
    <w:rsid w:val="00CA11A3"/>
    <w:rsid w:val="00CE6D2F"/>
    <w:rsid w:val="00CF63DF"/>
    <w:rsid w:val="00D74AC2"/>
    <w:rsid w:val="00D832BE"/>
    <w:rsid w:val="00E1644E"/>
    <w:rsid w:val="00E21B6D"/>
    <w:rsid w:val="00E262B9"/>
    <w:rsid w:val="00E3100B"/>
    <w:rsid w:val="00E36059"/>
    <w:rsid w:val="00E74762"/>
    <w:rsid w:val="00E90BC4"/>
    <w:rsid w:val="00E93EBF"/>
    <w:rsid w:val="00EA0939"/>
    <w:rsid w:val="00EB2894"/>
    <w:rsid w:val="00EC52C8"/>
    <w:rsid w:val="00EE037C"/>
    <w:rsid w:val="00EE3123"/>
    <w:rsid w:val="00F069D0"/>
    <w:rsid w:val="00F51DAD"/>
    <w:rsid w:val="00F61E56"/>
    <w:rsid w:val="00F64E7C"/>
    <w:rsid w:val="00F65D85"/>
    <w:rsid w:val="00F80DF7"/>
    <w:rsid w:val="00FF3F40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6C81"/>
  <w15:docId w15:val="{346B9D29-3953-4A46-AD68-104B926A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037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D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B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F40"/>
  </w:style>
  <w:style w:type="paragraph" w:styleId="Footer">
    <w:name w:val="footer"/>
    <w:basedOn w:val="Normal"/>
    <w:link w:val="FooterChar"/>
    <w:uiPriority w:val="99"/>
    <w:unhideWhenUsed/>
    <w:rsid w:val="00FF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40"/>
  </w:style>
  <w:style w:type="character" w:customStyle="1" w:styleId="Heading3Char">
    <w:name w:val="Heading 3 Char"/>
    <w:basedOn w:val="DefaultParagraphFont"/>
    <w:link w:val="Heading3"/>
    <w:uiPriority w:val="9"/>
    <w:rsid w:val="00EE037C"/>
    <w:rPr>
      <w:rFonts w:ascii="Cambria" w:eastAsia="Times New Roman" w:hAnsi="Cambria"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037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037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037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F5A2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0723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90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B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B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BC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6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apfroggroup.org/influencing/never-even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http://www.hospitalsafetyscore.org/media/file/SteeringEmployeesSaferCare_LeapFrog_WhitePaper.pdf" TargetMode="External"/><Relationship Id="rId10" Type="http://schemas.openxmlformats.org/officeDocument/2006/relationships/hyperlink" Target="http://www.leapfroggroup.org/employers-purchasers/regional-leade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BE31-0EEB-472D-8880-BD9B8335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Voth</dc:creator>
  <cp:lastModifiedBy>Lauren Bailey</cp:lastModifiedBy>
  <cp:revision>4</cp:revision>
  <dcterms:created xsi:type="dcterms:W3CDTF">2021-01-06T16:32:00Z</dcterms:created>
  <dcterms:modified xsi:type="dcterms:W3CDTF">2021-01-06T17:02:00Z</dcterms:modified>
</cp:coreProperties>
</file>