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48A3" w14:textId="680E1121" w:rsidR="007A430F" w:rsidRPr="00290A6B" w:rsidRDefault="2948144E" w:rsidP="2948144E">
      <w:pPr>
        <w:spacing w:after="0" w:line="240" w:lineRule="auto"/>
        <w:jc w:val="center"/>
        <w:rPr>
          <w:b/>
          <w:bCs/>
          <w:sz w:val="32"/>
          <w:szCs w:val="32"/>
        </w:rPr>
      </w:pPr>
      <w:r w:rsidRPr="2948144E">
        <w:rPr>
          <w:b/>
          <w:bCs/>
          <w:sz w:val="32"/>
          <w:szCs w:val="32"/>
        </w:rPr>
        <w:t xml:space="preserve">Compendium of Resources to </w:t>
      </w:r>
    </w:p>
    <w:p w14:paraId="76C3E8A8" w14:textId="3DBF6940" w:rsidR="007A430F" w:rsidRPr="00290A6B" w:rsidRDefault="2948144E" w:rsidP="00964DDD">
      <w:pPr>
        <w:spacing w:after="0" w:line="240" w:lineRule="auto"/>
        <w:jc w:val="center"/>
        <w:rPr>
          <w:b/>
          <w:bCs/>
          <w:sz w:val="32"/>
          <w:szCs w:val="32"/>
        </w:rPr>
      </w:pPr>
      <w:r w:rsidRPr="2948144E">
        <w:rPr>
          <w:b/>
          <w:bCs/>
          <w:sz w:val="32"/>
          <w:szCs w:val="32"/>
        </w:rPr>
        <w:t>“Tackling Diagnostic Error – A Playbook for your PFAC”</w:t>
      </w:r>
    </w:p>
    <w:p w14:paraId="2FFF344D" w14:textId="77777777" w:rsidR="007A430F" w:rsidRDefault="007A430F" w:rsidP="007A430F">
      <w:pPr>
        <w:spacing w:after="0" w:line="240" w:lineRule="auto"/>
        <w:rPr>
          <w:b/>
          <w:bCs/>
        </w:rPr>
      </w:pPr>
    </w:p>
    <w:p w14:paraId="573EF5F8" w14:textId="42A69428" w:rsidR="004234F3" w:rsidRPr="00290A6B" w:rsidRDefault="004234F3" w:rsidP="00964DDD">
      <w:pPr>
        <w:pStyle w:val="Heading1"/>
      </w:pPr>
      <w:r w:rsidRPr="00290A6B">
        <w:t>Key Terms</w:t>
      </w:r>
    </w:p>
    <w:p w14:paraId="7D3A337D" w14:textId="77777777" w:rsidR="00964DDD" w:rsidRDefault="00964DDD" w:rsidP="00964DDD">
      <w:pPr>
        <w:pStyle w:val="ListParagraph"/>
        <w:ind w:left="0"/>
        <w:rPr>
          <w:b/>
          <w:bCs/>
        </w:rPr>
      </w:pPr>
    </w:p>
    <w:p w14:paraId="3F328A2E" w14:textId="7FE8B9D3" w:rsidR="00584EF4" w:rsidRDefault="00584EF4" w:rsidP="00964DDD">
      <w:pPr>
        <w:pStyle w:val="ListParagraph"/>
        <w:ind w:left="0"/>
      </w:pPr>
      <w:r w:rsidRPr="009E6E98">
        <w:rPr>
          <w:b/>
          <w:bCs/>
        </w:rPr>
        <w:t>PFAC</w:t>
      </w:r>
      <w:r w:rsidR="00964DDD">
        <w:t xml:space="preserve">: </w:t>
      </w:r>
      <w:r w:rsidRPr="009E6E98">
        <w:t>Patient and Family Advisory Committee</w:t>
      </w:r>
    </w:p>
    <w:p w14:paraId="38B3A5B9" w14:textId="76AB32CF" w:rsidR="003A0982" w:rsidRPr="009E6E98" w:rsidRDefault="003A0982" w:rsidP="00584EF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A0982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>PFA</w:t>
      </w:r>
      <w:r w:rsidR="00964DD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: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Patient and Family Advisor </w:t>
      </w:r>
    </w:p>
    <w:p w14:paraId="3A351FCA" w14:textId="77777777" w:rsidR="009E6E98" w:rsidRDefault="009E6E98" w:rsidP="00584EF4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</w:pPr>
    </w:p>
    <w:p w14:paraId="10EBED38" w14:textId="3C6B6AB0" w:rsidR="00584EF4" w:rsidRPr="009E6E98" w:rsidRDefault="00584EF4" w:rsidP="00584EF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E6E98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 xml:space="preserve">Diagnostic </w:t>
      </w:r>
      <w:r w:rsidR="00964DDD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>e</w:t>
      </w:r>
      <w:r w:rsidRPr="009E6E98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>rror</w:t>
      </w:r>
      <w:r w:rsidR="00964DDD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 xml:space="preserve">: </w:t>
      </w:r>
      <w:r w:rsidRPr="009E6E98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An event where one or both of the following occurred, with harm or high potential of harm to the patient:</w:t>
      </w:r>
    </w:p>
    <w:p w14:paraId="45F8340B" w14:textId="77777777" w:rsidR="00584EF4" w:rsidRPr="009E6E98" w:rsidRDefault="00584EF4" w:rsidP="00964DDD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9E6E98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Delayed, wrong, or missed diagnosis: At least one missed opportunity to pursue or identify an accurate and timely diagnosis based on the information that existed at that time.</w:t>
      </w:r>
    </w:p>
    <w:p w14:paraId="5DF15466" w14:textId="77777777" w:rsidR="00584EF4" w:rsidRPr="009E6E98" w:rsidRDefault="00584EF4" w:rsidP="00964DDD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9E6E98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Diagnosis not communicated to the patient: Accurate diagnosis was available but was not effectively communicated to the patient or family.</w:t>
      </w:r>
    </w:p>
    <w:p w14:paraId="6BC9E3B2" w14:textId="77777777" w:rsidR="009E6E98" w:rsidRDefault="009E6E98" w:rsidP="00584EF4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</w:pPr>
    </w:p>
    <w:p w14:paraId="0E3FB50F" w14:textId="4D281F33" w:rsidR="00584EF4" w:rsidRPr="009E6E98" w:rsidRDefault="00584EF4" w:rsidP="00584EF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E6E98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>Lived experience</w:t>
      </w:r>
      <w:r w:rsidR="00964DDD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 xml:space="preserve">: </w:t>
      </w:r>
      <w:r w:rsidR="00964DDD" w:rsidRPr="00964DD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P</w:t>
      </w:r>
      <w:r w:rsidRPr="009E6E98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ersonal knowledge about the world gained through direct, first-hand involvement in everyday events rather than through representations constructed by other people</w:t>
      </w:r>
      <w:r w:rsidR="009E6E98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.</w:t>
      </w:r>
      <w:r w:rsidR="006F183F">
        <w:rPr>
          <w:rStyle w:val="FootnoteReference"/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footnoteReference w:id="1"/>
      </w:r>
    </w:p>
    <w:p w14:paraId="3D11B86C" w14:textId="204F3982" w:rsidR="00584EF4" w:rsidRDefault="00584EF4" w:rsidP="00584EF4">
      <w:pPr>
        <w:pStyle w:val="NormalWeb"/>
        <w:spacing w:before="0" w:beforeAutospacing="0" w:after="0" w:afterAutospacing="0"/>
      </w:pPr>
    </w:p>
    <w:p w14:paraId="799BB3F9" w14:textId="77777777" w:rsidR="004234F3" w:rsidRDefault="004234F3" w:rsidP="007A430F">
      <w:pPr>
        <w:spacing w:after="0" w:line="240" w:lineRule="auto"/>
        <w:rPr>
          <w:b/>
          <w:bCs/>
        </w:rPr>
      </w:pPr>
    </w:p>
    <w:p w14:paraId="5943B54A" w14:textId="77777777" w:rsidR="00B57417" w:rsidRDefault="00B57417">
      <w:pPr>
        <w:rPr>
          <w:b/>
          <w:bCs/>
        </w:rPr>
      </w:pPr>
      <w:r>
        <w:rPr>
          <w:b/>
          <w:bCs/>
        </w:rPr>
        <w:br w:type="page"/>
      </w:r>
    </w:p>
    <w:p w14:paraId="1F2DAD68" w14:textId="0315BCCB" w:rsidR="00B57417" w:rsidRDefault="00B57417" w:rsidP="00964DDD">
      <w:pPr>
        <w:pStyle w:val="Heading1"/>
      </w:pPr>
      <w:r w:rsidRPr="00290A6B">
        <w:lastRenderedPageBreak/>
        <w:t>References and Guides</w:t>
      </w:r>
    </w:p>
    <w:p w14:paraId="46EAB4F1" w14:textId="3C5D55F5" w:rsidR="001A174C" w:rsidRPr="00964DDD" w:rsidRDefault="001A174C" w:rsidP="00964DDD">
      <w:pPr>
        <w:spacing w:after="0" w:line="240" w:lineRule="auto"/>
        <w:rPr>
          <w:b/>
          <w:bCs/>
        </w:rPr>
      </w:pPr>
      <w:r w:rsidRPr="00964DDD">
        <w:rPr>
          <w:b/>
          <w:bCs/>
        </w:rPr>
        <w:t>Recognizing Excellence in Diagnosis: Recommended Practices for Hospitals</w:t>
      </w:r>
    </w:p>
    <w:p w14:paraId="2735160E" w14:textId="67C868B1" w:rsidR="001A174C" w:rsidRPr="00177E60" w:rsidRDefault="00177E60" w:rsidP="00964DD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Full </w:t>
      </w:r>
      <w:r w:rsidR="009E6E98">
        <w:t xml:space="preserve">report </w:t>
      </w:r>
      <w:r w:rsidR="00290A6B">
        <w:t>available</w:t>
      </w:r>
      <w:r w:rsidR="0018112F">
        <w:t xml:space="preserve"> online at: </w:t>
      </w:r>
      <w:hyperlink r:id="rId11" w:history="1">
        <w:r w:rsidR="0018112F" w:rsidRPr="002C734A">
          <w:rPr>
            <w:rStyle w:val="Hyperlink"/>
          </w:rPr>
          <w:t>https://www.leapfroggroup.org/recognizing-excellence-diagnosis-recommended-practices-hospitals</w:t>
        </w:r>
      </w:hyperlink>
      <w:r w:rsidR="0018112F">
        <w:t xml:space="preserve">. </w:t>
      </w:r>
    </w:p>
    <w:p w14:paraId="0AAA6EF5" w14:textId="77777777" w:rsidR="001A174C" w:rsidRDefault="001A174C" w:rsidP="007A430F">
      <w:pPr>
        <w:spacing w:after="0" w:line="240" w:lineRule="auto"/>
        <w:rPr>
          <w:b/>
          <w:bCs/>
        </w:rPr>
      </w:pPr>
    </w:p>
    <w:p w14:paraId="0630F1C3" w14:textId="2CFDD2CE" w:rsidR="00101841" w:rsidRPr="00964DDD" w:rsidRDefault="00101841" w:rsidP="00964DDD">
      <w:pPr>
        <w:spacing w:after="0" w:line="240" w:lineRule="auto"/>
        <w:rPr>
          <w:b/>
          <w:bCs/>
        </w:rPr>
      </w:pPr>
      <w:r w:rsidRPr="00964DDD">
        <w:rPr>
          <w:b/>
          <w:bCs/>
        </w:rPr>
        <w:t xml:space="preserve">Determining if your PFAC </w:t>
      </w:r>
      <w:r w:rsidR="00E063C1" w:rsidRPr="00964DDD">
        <w:rPr>
          <w:b/>
          <w:bCs/>
        </w:rPr>
        <w:t>is</w:t>
      </w:r>
      <w:r w:rsidRPr="00964DDD">
        <w:rPr>
          <w:b/>
          <w:bCs/>
        </w:rPr>
        <w:t xml:space="preserve"> ready to tackle diagnostic error</w:t>
      </w:r>
    </w:p>
    <w:p w14:paraId="6A441976" w14:textId="0835E3C3" w:rsidR="00101841" w:rsidRDefault="00427967" w:rsidP="00964DDD">
      <w:pPr>
        <w:pStyle w:val="ListParagraph"/>
        <w:numPr>
          <w:ilvl w:val="0"/>
          <w:numId w:val="3"/>
        </w:numPr>
        <w:spacing w:after="0" w:line="240" w:lineRule="auto"/>
      </w:pPr>
      <w:r>
        <w:t>Institute for Patient and Family-Centered Care (</w:t>
      </w:r>
      <w:r w:rsidR="00101841" w:rsidRPr="00101841">
        <w:t>IPFCC</w:t>
      </w:r>
      <w:r w:rsidR="007004E2">
        <w:t>)</w:t>
      </w:r>
      <w:r w:rsidR="00101841">
        <w:t xml:space="preserve"> – </w:t>
      </w:r>
      <w:r w:rsidR="00101841" w:rsidRPr="00101841">
        <w:t>PFAC resources</w:t>
      </w:r>
      <w:r w:rsidR="00101841">
        <w:t xml:space="preserve"> to support the creation and operation of PFACs.  Available online at: </w:t>
      </w:r>
      <w:r w:rsidR="00101841" w:rsidRPr="00101841">
        <w:t xml:space="preserve"> </w:t>
      </w:r>
      <w:hyperlink r:id="rId12" w:history="1">
        <w:r w:rsidR="00101841" w:rsidRPr="00586738">
          <w:rPr>
            <w:rStyle w:val="Hyperlink"/>
          </w:rPr>
          <w:t>https://www.ipfcc.org/bestpractices/sustainable-partnerships/engaging/effective-pfacs.html</w:t>
        </w:r>
      </w:hyperlink>
      <w:r w:rsidR="00101841">
        <w:t>.</w:t>
      </w:r>
    </w:p>
    <w:p w14:paraId="1B326CFC" w14:textId="254A9EA1" w:rsidR="00101841" w:rsidRDefault="00101841" w:rsidP="00964DDD">
      <w:pPr>
        <w:pStyle w:val="ListParagraph"/>
        <w:numPr>
          <w:ilvl w:val="0"/>
          <w:numId w:val="3"/>
        </w:numPr>
        <w:spacing w:after="0" w:line="240" w:lineRule="auto"/>
      </w:pPr>
      <w:r w:rsidRPr="00101841">
        <w:t>Patient Family Centered Care Partners (</w:t>
      </w:r>
      <w:proofErr w:type="spellStart"/>
      <w:r w:rsidRPr="00101841">
        <w:t>PFCCPartners</w:t>
      </w:r>
      <w:proofErr w:type="spellEnd"/>
      <w:r w:rsidRPr="00101841">
        <w:t xml:space="preserve">) </w:t>
      </w:r>
      <w:r>
        <w:t xml:space="preserve">– </w:t>
      </w:r>
      <w:r w:rsidRPr="00101841">
        <w:t>provides resources and support for PFACs and other types of Patient Family Advisors</w:t>
      </w:r>
      <w:r>
        <w:t xml:space="preserve">.  Available online at: </w:t>
      </w:r>
      <w:hyperlink r:id="rId13" w:history="1">
        <w:hyperlink r:id="rId14" w:history="1">
          <w:r w:rsidRPr="00101841">
            <w:rPr>
              <w:rStyle w:val="Hyperlink"/>
            </w:rPr>
            <w:t>https://pfccpartners.com/</w:t>
          </w:r>
        </w:hyperlink>
      </w:hyperlink>
      <w:r>
        <w:t>.</w:t>
      </w:r>
    </w:p>
    <w:p w14:paraId="6E7B8CD5" w14:textId="21D1F3D1" w:rsidR="00101841" w:rsidRDefault="00101841" w:rsidP="00964DDD">
      <w:pPr>
        <w:pStyle w:val="ListParagraph"/>
        <w:numPr>
          <w:ilvl w:val="0"/>
          <w:numId w:val="3"/>
        </w:numPr>
        <w:spacing w:after="0" w:line="240" w:lineRule="auto"/>
      </w:pPr>
      <w:r w:rsidRPr="00101841">
        <w:t xml:space="preserve">American Medical Association (AMA) </w:t>
      </w:r>
      <w:r>
        <w:t xml:space="preserve">– </w:t>
      </w:r>
      <w:r w:rsidRPr="00101841">
        <w:t>produced a module on PFAC development in collaboration with Consumers Advancing Patient Safety and ProjectPatientCare.org</w:t>
      </w:r>
      <w:r>
        <w:t xml:space="preserve">.  Available online at: </w:t>
      </w:r>
      <w:hyperlink r:id="rId15" w:history="1">
        <w:hyperlink r:id="rId16" w:history="1">
          <w:r w:rsidRPr="00101841">
            <w:rPr>
              <w:rStyle w:val="Hyperlink"/>
            </w:rPr>
            <w:t>https://edhub.ama-assn.org/steps-forward/module/2702594</w:t>
          </w:r>
        </w:hyperlink>
      </w:hyperlink>
      <w:r>
        <w:t>.</w:t>
      </w:r>
    </w:p>
    <w:p w14:paraId="4075B4F3" w14:textId="77777777" w:rsidR="00326A3A" w:rsidRDefault="00326A3A" w:rsidP="007A430F">
      <w:pPr>
        <w:spacing w:after="0" w:line="240" w:lineRule="auto"/>
        <w:rPr>
          <w:b/>
          <w:bCs/>
        </w:rPr>
      </w:pPr>
    </w:p>
    <w:p w14:paraId="0E836462" w14:textId="43B60AE8" w:rsidR="00101841" w:rsidRPr="00964DDD" w:rsidRDefault="007D7D6E" w:rsidP="00964DDD">
      <w:pPr>
        <w:spacing w:after="0" w:line="240" w:lineRule="auto"/>
        <w:rPr>
          <w:b/>
          <w:bCs/>
        </w:rPr>
      </w:pPr>
      <w:r w:rsidRPr="00964DDD">
        <w:rPr>
          <w:b/>
          <w:bCs/>
        </w:rPr>
        <w:t xml:space="preserve">Diagnostic </w:t>
      </w:r>
      <w:r w:rsidR="004D687D">
        <w:rPr>
          <w:b/>
          <w:bCs/>
        </w:rPr>
        <w:t>error</w:t>
      </w:r>
      <w:r w:rsidRPr="00964DDD">
        <w:rPr>
          <w:b/>
          <w:bCs/>
        </w:rPr>
        <w:t xml:space="preserve"> statistics</w:t>
      </w:r>
    </w:p>
    <w:p w14:paraId="2C2D5195" w14:textId="69A2135C" w:rsidR="007D7D6E" w:rsidRPr="007D7D6E" w:rsidRDefault="007D7D6E" w:rsidP="00964DDD">
      <w:pPr>
        <w:pStyle w:val="ListParagraph"/>
        <w:numPr>
          <w:ilvl w:val="0"/>
          <w:numId w:val="4"/>
        </w:numPr>
        <w:spacing w:after="0" w:line="240" w:lineRule="auto"/>
      </w:pPr>
      <w:r w:rsidRPr="007D7D6E">
        <w:t xml:space="preserve">Singh H, Meyer AN, Thomas EJ. The frequency of diagnostic errors in outpatient care: estimations from three large observational studies involving US adult populations. </w:t>
      </w:r>
      <w:r w:rsidRPr="00964DDD">
        <w:rPr>
          <w:i/>
          <w:iCs/>
        </w:rPr>
        <w:t xml:space="preserve">BMJ Qual </w:t>
      </w:r>
      <w:proofErr w:type="spellStart"/>
      <w:r w:rsidRPr="00964DDD">
        <w:rPr>
          <w:i/>
          <w:iCs/>
        </w:rPr>
        <w:t>Saf</w:t>
      </w:r>
      <w:proofErr w:type="spellEnd"/>
      <w:r w:rsidRPr="007D7D6E">
        <w:t>. 2014</w:t>
      </w:r>
      <w:r>
        <w:t xml:space="preserve">; </w:t>
      </w:r>
      <w:r w:rsidR="00770791">
        <w:t>23(9):727-31</w:t>
      </w:r>
      <w:r w:rsidRPr="007D7D6E">
        <w:t>.</w:t>
      </w:r>
    </w:p>
    <w:p w14:paraId="619F9D84" w14:textId="6C54F86D" w:rsidR="007D7D6E" w:rsidRPr="007D7D6E" w:rsidRDefault="007D7D6E" w:rsidP="00964DDD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7D7D6E">
        <w:t>Leape</w:t>
      </w:r>
      <w:proofErr w:type="spellEnd"/>
      <w:r w:rsidRPr="007D7D6E">
        <w:t xml:space="preserve"> LL. Counting deaths due to medical errors. </w:t>
      </w:r>
      <w:r w:rsidRPr="00964DDD">
        <w:rPr>
          <w:i/>
          <w:iCs/>
        </w:rPr>
        <w:t>JAMA</w:t>
      </w:r>
      <w:r w:rsidRPr="007D7D6E">
        <w:t>. 2002;288(19):2404-5</w:t>
      </w:r>
      <w:r>
        <w:t>.</w:t>
      </w:r>
    </w:p>
    <w:p w14:paraId="490F7F1E" w14:textId="09CDA2FE" w:rsidR="007D7D6E" w:rsidRDefault="007D7D6E" w:rsidP="00964DDD">
      <w:pPr>
        <w:pStyle w:val="ListParagraph"/>
        <w:numPr>
          <w:ilvl w:val="0"/>
          <w:numId w:val="4"/>
        </w:numPr>
        <w:spacing w:after="0" w:line="240" w:lineRule="auto"/>
      </w:pPr>
      <w:r w:rsidRPr="007D7D6E">
        <w:t>Newman-Toker D, et al. Diagnostic Error in Medicine</w:t>
      </w:r>
      <w:r>
        <w:t>.</w:t>
      </w:r>
      <w:r w:rsidRPr="007D7D6E">
        <w:t xml:space="preserve"> </w:t>
      </w:r>
      <w:r w:rsidRPr="00964DDD">
        <w:rPr>
          <w:i/>
          <w:iCs/>
        </w:rPr>
        <w:t>Diagnosis.</w:t>
      </w:r>
      <w:r w:rsidRPr="007D7D6E">
        <w:t xml:space="preserve"> </w:t>
      </w:r>
      <w:r>
        <w:t xml:space="preserve">2018; </w:t>
      </w:r>
      <w:r w:rsidRPr="007D7D6E">
        <w:t>5(4</w:t>
      </w:r>
      <w:proofErr w:type="gramStart"/>
      <w:r w:rsidRPr="007D7D6E">
        <w:t>):Ea</w:t>
      </w:r>
      <w:proofErr w:type="gramEnd"/>
      <w:r w:rsidRPr="007D7D6E">
        <w:t>100</w:t>
      </w:r>
      <w:r>
        <w:t>.</w:t>
      </w:r>
    </w:p>
    <w:p w14:paraId="1B320F01" w14:textId="77777777" w:rsidR="00326A3A" w:rsidRDefault="00326A3A" w:rsidP="007A430F">
      <w:pPr>
        <w:spacing w:after="0" w:line="240" w:lineRule="auto"/>
        <w:rPr>
          <w:b/>
          <w:bCs/>
        </w:rPr>
      </w:pPr>
    </w:p>
    <w:p w14:paraId="30F29ECD" w14:textId="4ED3E9C4" w:rsidR="00770791" w:rsidRPr="00964DDD" w:rsidRDefault="00770791" w:rsidP="00964DDD">
      <w:pPr>
        <w:spacing w:after="0" w:line="240" w:lineRule="auto"/>
        <w:rPr>
          <w:b/>
          <w:bCs/>
        </w:rPr>
      </w:pPr>
      <w:r w:rsidRPr="00964DDD">
        <w:rPr>
          <w:b/>
          <w:bCs/>
        </w:rPr>
        <w:t>Diagnostic Process</w:t>
      </w:r>
    </w:p>
    <w:p w14:paraId="56C66284" w14:textId="2D07A502" w:rsidR="00770791" w:rsidRDefault="00770791" w:rsidP="00964DD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Society to Improve Diagnosis in Medicine, The Diagnostic Process. Available online at: </w:t>
      </w:r>
      <w:hyperlink r:id="rId17" w:history="1">
        <w:r w:rsidRPr="003D75CF">
          <w:rPr>
            <w:rStyle w:val="Hyperlink"/>
          </w:rPr>
          <w:t>https://www.improvediagnosis.org/processes/the-diagnostic-process/</w:t>
        </w:r>
      </w:hyperlink>
      <w:r>
        <w:t>.</w:t>
      </w:r>
    </w:p>
    <w:p w14:paraId="06B75217" w14:textId="31F4FB80" w:rsidR="00770791" w:rsidRDefault="00770791" w:rsidP="00964DDD">
      <w:pPr>
        <w:pStyle w:val="ListParagraph"/>
        <w:numPr>
          <w:ilvl w:val="0"/>
          <w:numId w:val="5"/>
        </w:numPr>
        <w:spacing w:after="0" w:line="240" w:lineRule="auto"/>
      </w:pPr>
      <w:r w:rsidRPr="00770791">
        <w:t xml:space="preserve">National Academies of Sciences, Engineering, and Medicine. Improving Diagnosis in Health Care. Washington, DC: The National Academies Press. 2015. Available online at: </w:t>
      </w:r>
      <w:hyperlink r:id="rId18" w:history="1">
        <w:r w:rsidRPr="003D75CF">
          <w:rPr>
            <w:rStyle w:val="Hyperlink"/>
          </w:rPr>
          <w:t>https://doi.org/10.17226/21794</w:t>
        </w:r>
      </w:hyperlink>
      <w:r w:rsidRPr="00770791">
        <w:t>. </w:t>
      </w:r>
    </w:p>
    <w:p w14:paraId="57A82331" w14:textId="77777777" w:rsidR="00326A3A" w:rsidRDefault="00326A3A" w:rsidP="007A430F">
      <w:pPr>
        <w:spacing w:after="0" w:line="240" w:lineRule="auto"/>
        <w:rPr>
          <w:b/>
          <w:bCs/>
        </w:rPr>
      </w:pPr>
    </w:p>
    <w:p w14:paraId="29C7C0A0" w14:textId="00AF8E4D" w:rsidR="00D63FC2" w:rsidRPr="00964DDD" w:rsidRDefault="00D63FC2" w:rsidP="00964DDD">
      <w:pPr>
        <w:spacing w:after="0" w:line="240" w:lineRule="auto"/>
        <w:rPr>
          <w:b/>
          <w:bCs/>
        </w:rPr>
      </w:pPr>
      <w:r w:rsidRPr="00964DDD">
        <w:rPr>
          <w:b/>
          <w:bCs/>
        </w:rPr>
        <w:t>Patient Stories</w:t>
      </w:r>
    </w:p>
    <w:p w14:paraId="1E61334C" w14:textId="4636527F" w:rsidR="00D63FC2" w:rsidRDefault="00D63FC2" w:rsidP="00964DD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Society to Improve Diagnosis in Medicine, </w:t>
      </w:r>
      <w:proofErr w:type="spellStart"/>
      <w:r>
        <w:t>StoryBank</w:t>
      </w:r>
      <w:proofErr w:type="spellEnd"/>
      <w:r>
        <w:t xml:space="preserve">. Available online at: </w:t>
      </w:r>
      <w:hyperlink r:id="rId19" w:history="1">
        <w:r w:rsidRPr="003D75CF">
          <w:rPr>
            <w:rStyle w:val="Hyperlink"/>
          </w:rPr>
          <w:t>https://www.improvediagnosis.org/stories/</w:t>
        </w:r>
      </w:hyperlink>
      <w:r w:rsidR="003D75CF">
        <w:t>.</w:t>
      </w:r>
    </w:p>
    <w:p w14:paraId="01AFF7DC" w14:textId="77777777" w:rsidR="00326A3A" w:rsidRDefault="00326A3A" w:rsidP="007A430F">
      <w:pPr>
        <w:spacing w:after="0" w:line="240" w:lineRule="auto"/>
        <w:rPr>
          <w:b/>
          <w:bCs/>
        </w:rPr>
      </w:pPr>
    </w:p>
    <w:p w14:paraId="758F04CD" w14:textId="685AE27E" w:rsidR="00D63FC2" w:rsidRPr="00D63FC2" w:rsidRDefault="00D63FC2" w:rsidP="007A430F">
      <w:pPr>
        <w:spacing w:after="0" w:line="240" w:lineRule="auto"/>
        <w:rPr>
          <w:b/>
          <w:bCs/>
        </w:rPr>
      </w:pPr>
      <w:r w:rsidRPr="00D63FC2">
        <w:rPr>
          <w:b/>
          <w:bCs/>
        </w:rPr>
        <w:t>Patient Engagement in Medical Education</w:t>
      </w:r>
    </w:p>
    <w:p w14:paraId="43D2DAED" w14:textId="24F2E4DA" w:rsidR="00D63FC2" w:rsidRPr="00D63FC2" w:rsidRDefault="00D63FC2" w:rsidP="00964DDD">
      <w:pPr>
        <w:pStyle w:val="ListParagraph"/>
        <w:numPr>
          <w:ilvl w:val="0"/>
          <w:numId w:val="6"/>
        </w:numPr>
        <w:spacing w:after="0" w:line="240" w:lineRule="auto"/>
      </w:pPr>
      <w:r w:rsidRPr="00D63FC2">
        <w:t>Accreditation Council for Continuing Medical Education Criterion 24, Engaging Patients in CME</w:t>
      </w:r>
      <w:r w:rsidR="003D75CF">
        <w:t>.  Availab</w:t>
      </w:r>
      <w:r w:rsidR="001A4F7F">
        <w:t xml:space="preserve">le online at: </w:t>
      </w:r>
      <w:hyperlink r:id="rId20" w:history="1">
        <w:r w:rsidR="001A4F7F" w:rsidRPr="00586738">
          <w:rPr>
            <w:rStyle w:val="Hyperlink"/>
          </w:rPr>
          <w:t>https://www.accme.org/tutorials/engaging-patients</w:t>
        </w:r>
      </w:hyperlink>
      <w:r w:rsidR="001A4F7F">
        <w:t xml:space="preserve">. </w:t>
      </w:r>
    </w:p>
    <w:p w14:paraId="0B259915" w14:textId="0F47F561" w:rsidR="00D63FC2" w:rsidRPr="00D63FC2" w:rsidRDefault="00D63FC2" w:rsidP="00964DDD">
      <w:pPr>
        <w:pStyle w:val="ListParagraph"/>
        <w:numPr>
          <w:ilvl w:val="0"/>
          <w:numId w:val="6"/>
        </w:numPr>
        <w:spacing w:after="0" w:line="240" w:lineRule="auto"/>
      </w:pPr>
      <w:r w:rsidRPr="00D63FC2">
        <w:t>Association for Medical Education in Europe, 2019 Annual Meeting Plenary, A Call to Action: Patients as Partners in Health Professions Education and Practice</w:t>
      </w:r>
      <w:r w:rsidR="001A4F7F">
        <w:t xml:space="preserve">.  Available online at: </w:t>
      </w:r>
      <w:hyperlink r:id="rId21" w:history="1">
        <w:r w:rsidR="001A4F7F" w:rsidRPr="00586738">
          <w:rPr>
            <w:rStyle w:val="Hyperlink"/>
          </w:rPr>
          <w:t>https://www.youtube.com/watch?v=S7Dj6IVnbjU</w:t>
        </w:r>
      </w:hyperlink>
      <w:r w:rsidR="001A4F7F">
        <w:t xml:space="preserve">. </w:t>
      </w:r>
    </w:p>
    <w:p w14:paraId="466E362E" w14:textId="77777777" w:rsidR="00326A3A" w:rsidRDefault="00326A3A" w:rsidP="007A430F">
      <w:pPr>
        <w:spacing w:after="0" w:line="240" w:lineRule="auto"/>
        <w:rPr>
          <w:b/>
          <w:bCs/>
        </w:rPr>
      </w:pPr>
    </w:p>
    <w:p w14:paraId="7BA46088" w14:textId="56C45E9B" w:rsidR="00D63FC2" w:rsidRPr="00760B23" w:rsidRDefault="00D63FC2" w:rsidP="007A430F">
      <w:pPr>
        <w:spacing w:after="0" w:line="240" w:lineRule="auto"/>
        <w:rPr>
          <w:b/>
          <w:bCs/>
        </w:rPr>
      </w:pPr>
      <w:r w:rsidRPr="00760B23">
        <w:rPr>
          <w:b/>
          <w:bCs/>
        </w:rPr>
        <w:t>PFAC Guides</w:t>
      </w:r>
    </w:p>
    <w:p w14:paraId="6AA8B83E" w14:textId="759DD194" w:rsidR="00D63FC2" w:rsidRPr="003D75CF" w:rsidRDefault="00760B23" w:rsidP="00964DD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Society to Improve Diagnosis in Medicine, Patient and Family Advisory Council Guides.  Available online at: </w:t>
      </w:r>
      <w:hyperlink r:id="rId22" w:history="1">
        <w:r w:rsidRPr="003D75CF">
          <w:rPr>
            <w:rStyle w:val="Hyperlink"/>
          </w:rPr>
          <w:t>https://www.improvediagnosis.org/pfac-guides/</w:t>
        </w:r>
      </w:hyperlink>
      <w:r w:rsidR="003D75CF" w:rsidRPr="00964DDD">
        <w:rPr>
          <w:rStyle w:val="Hyperlink"/>
          <w:color w:val="auto"/>
          <w:u w:val="none"/>
        </w:rPr>
        <w:t>.</w:t>
      </w:r>
    </w:p>
    <w:p w14:paraId="5286CECD" w14:textId="77777777" w:rsidR="00326A3A" w:rsidRDefault="00326A3A" w:rsidP="007A430F">
      <w:pPr>
        <w:spacing w:after="0" w:line="240" w:lineRule="auto"/>
        <w:rPr>
          <w:b/>
          <w:bCs/>
        </w:rPr>
      </w:pPr>
    </w:p>
    <w:p w14:paraId="6D4DBFA4" w14:textId="77777777" w:rsidR="00964DDD" w:rsidRDefault="00964DDD" w:rsidP="007A430F">
      <w:pPr>
        <w:spacing w:after="0" w:line="240" w:lineRule="auto"/>
        <w:rPr>
          <w:b/>
          <w:bCs/>
        </w:rPr>
      </w:pPr>
    </w:p>
    <w:p w14:paraId="42CE3E21" w14:textId="77777777" w:rsidR="00964DDD" w:rsidRDefault="00964DDD" w:rsidP="007A430F">
      <w:pPr>
        <w:spacing w:after="0" w:line="240" w:lineRule="auto"/>
        <w:rPr>
          <w:b/>
          <w:bCs/>
        </w:rPr>
      </w:pPr>
    </w:p>
    <w:p w14:paraId="465DF5F4" w14:textId="5ABDEA31" w:rsidR="00D63FC2" w:rsidRPr="00326A3A" w:rsidRDefault="00D63FC2" w:rsidP="007A430F">
      <w:pPr>
        <w:spacing w:after="0" w:line="240" w:lineRule="auto"/>
        <w:rPr>
          <w:b/>
          <w:bCs/>
        </w:rPr>
      </w:pPr>
      <w:r w:rsidRPr="00326A3A">
        <w:rPr>
          <w:b/>
          <w:bCs/>
        </w:rPr>
        <w:lastRenderedPageBreak/>
        <w:t>Foundational Resources on Diagnostic Error</w:t>
      </w:r>
    </w:p>
    <w:p w14:paraId="0AB1A7C9" w14:textId="63400CD2" w:rsidR="00760B23" w:rsidRDefault="00326A3A" w:rsidP="00964DD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Society to Improve Diagnosis in Medicine, Foundational Readings.  Available online at: </w:t>
      </w:r>
      <w:hyperlink r:id="rId23" w:history="1">
        <w:r w:rsidRPr="003D75CF">
          <w:rPr>
            <w:rStyle w:val="Hyperlink"/>
          </w:rPr>
          <w:t>https://www.improvediagnosis.org/foundational-readings/</w:t>
        </w:r>
      </w:hyperlink>
      <w:r>
        <w:t xml:space="preserve">.  </w:t>
      </w:r>
    </w:p>
    <w:p w14:paraId="2B38B9F8" w14:textId="04562F1E" w:rsidR="00326A3A" w:rsidRPr="003D75CF" w:rsidRDefault="00326A3A" w:rsidP="00964DD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AHRQ, Patient Safety 101 Primers – Diagnostic Errors, September 7, 2019.  Available online at: </w:t>
      </w:r>
      <w:hyperlink r:id="rId24" w:history="1">
        <w:r w:rsidRPr="003D75CF">
          <w:rPr>
            <w:rStyle w:val="Hyperlink"/>
          </w:rPr>
          <w:t>https://psnet.ahrq.gov/primer/diagnostic-errors</w:t>
        </w:r>
      </w:hyperlink>
      <w:r w:rsidR="003D75CF" w:rsidRPr="00964DDD">
        <w:rPr>
          <w:rStyle w:val="Hyperlink"/>
          <w:color w:val="auto"/>
          <w:u w:val="none"/>
        </w:rPr>
        <w:t>.</w:t>
      </w:r>
    </w:p>
    <w:p w14:paraId="41155684" w14:textId="3CD5BC02" w:rsidR="00326A3A" w:rsidRDefault="00326A3A" w:rsidP="00964DDD">
      <w:pPr>
        <w:pStyle w:val="ListParagraph"/>
        <w:numPr>
          <w:ilvl w:val="0"/>
          <w:numId w:val="7"/>
        </w:numPr>
        <w:spacing w:after="0" w:line="240" w:lineRule="auto"/>
      </w:pPr>
      <w:r w:rsidRPr="00770791">
        <w:t xml:space="preserve">National Academies of Sciences, Engineering, and Medicine. </w:t>
      </w:r>
      <w:r>
        <w:t xml:space="preserve">“1 Introduction.” </w:t>
      </w:r>
      <w:r w:rsidRPr="00770791">
        <w:t xml:space="preserve">Improving Diagnosis in Health Care. Washington, DC: The National Academies Press. 2015. Available online at: </w:t>
      </w:r>
      <w:hyperlink r:id="rId25" w:history="1">
        <w:r w:rsidRPr="003D75CF">
          <w:rPr>
            <w:rStyle w:val="Hyperlink"/>
          </w:rPr>
          <w:t>https://nap.nationalacademies.org/read/21794/chapter/3</w:t>
        </w:r>
      </w:hyperlink>
      <w:r w:rsidRPr="00770791">
        <w:t>. </w:t>
      </w:r>
    </w:p>
    <w:p w14:paraId="38299F54" w14:textId="77777777" w:rsidR="00326A3A" w:rsidRDefault="00326A3A" w:rsidP="007A430F">
      <w:pPr>
        <w:spacing w:after="0" w:line="240" w:lineRule="auto"/>
        <w:rPr>
          <w:b/>
          <w:bCs/>
        </w:rPr>
      </w:pPr>
    </w:p>
    <w:p w14:paraId="0140BF6A" w14:textId="2FD22E43" w:rsidR="00760B23" w:rsidRDefault="00760B23" w:rsidP="007A430F">
      <w:pPr>
        <w:spacing w:after="0" w:line="240" w:lineRule="auto"/>
        <w:rPr>
          <w:b/>
          <w:bCs/>
        </w:rPr>
      </w:pPr>
      <w:r w:rsidRPr="00760B23">
        <w:rPr>
          <w:b/>
          <w:bCs/>
        </w:rPr>
        <w:t>“What if” Framework</w:t>
      </w:r>
    </w:p>
    <w:p w14:paraId="2D458487" w14:textId="54665EF7" w:rsidR="00BE3F6C" w:rsidRDefault="00326A3A" w:rsidP="00964DDD">
      <w:pPr>
        <w:pStyle w:val="ListParagraph"/>
        <w:numPr>
          <w:ilvl w:val="0"/>
          <w:numId w:val="8"/>
        </w:numPr>
        <w:spacing w:after="0" w:line="240" w:lineRule="auto"/>
      </w:pPr>
      <w:r w:rsidRPr="00326A3A">
        <w:t xml:space="preserve">Sheridan S, </w:t>
      </w:r>
      <w:proofErr w:type="spellStart"/>
      <w:r w:rsidRPr="00326A3A">
        <w:t>Merryweather</w:t>
      </w:r>
      <w:proofErr w:type="spellEnd"/>
      <w:r w:rsidR="007A430F">
        <w:t xml:space="preserve"> P</w:t>
      </w:r>
      <w:r w:rsidRPr="00326A3A">
        <w:t xml:space="preserve">, </w:t>
      </w:r>
      <w:proofErr w:type="spellStart"/>
      <w:r w:rsidRPr="00326A3A">
        <w:t>Rusz</w:t>
      </w:r>
      <w:proofErr w:type="spellEnd"/>
      <w:r w:rsidR="007A430F">
        <w:t xml:space="preserve"> D</w:t>
      </w:r>
      <w:r w:rsidRPr="00326A3A">
        <w:t>, and Schiff</w:t>
      </w:r>
      <w:r w:rsidR="007A430F">
        <w:t xml:space="preserve"> G</w:t>
      </w:r>
      <w:r w:rsidRPr="00326A3A">
        <w:t xml:space="preserve">. 2020. </w:t>
      </w:r>
      <w:r w:rsidR="007A430F">
        <w:t>“</w:t>
      </w:r>
      <w:r w:rsidRPr="00326A3A">
        <w:t xml:space="preserve">What </w:t>
      </w:r>
      <w:proofErr w:type="gramStart"/>
      <w:r w:rsidRPr="00326A3A">
        <w:t>if?:</w:t>
      </w:r>
      <w:proofErr w:type="gramEnd"/>
      <w:r w:rsidRPr="00326A3A">
        <w:t xml:space="preserve"> Transforming diagnostic research by leveraging a diagnostic process map to engage patients in learning from errors.</w:t>
      </w:r>
      <w:r w:rsidR="007A430F">
        <w:t>”</w:t>
      </w:r>
      <w:r w:rsidRPr="00326A3A">
        <w:t> </w:t>
      </w:r>
      <w:r w:rsidRPr="00964DDD">
        <w:rPr>
          <w:i/>
          <w:iCs/>
        </w:rPr>
        <w:t>NAM Perspectives.</w:t>
      </w:r>
      <w:r w:rsidRPr="00326A3A">
        <w:t> Commentary, National Academy of Medicine, Washington, DC. </w:t>
      </w:r>
      <w:r w:rsidR="007A430F">
        <w:t xml:space="preserve"> </w:t>
      </w:r>
      <w:r>
        <w:t xml:space="preserve">Available online at: </w:t>
      </w:r>
      <w:hyperlink r:id="rId26" w:history="1">
        <w:r w:rsidRPr="00586738">
          <w:rPr>
            <w:rStyle w:val="Hyperlink"/>
          </w:rPr>
          <w:t>https://doi.org/10.31478/202002a</w:t>
        </w:r>
      </w:hyperlink>
      <w:r>
        <w:t>.</w:t>
      </w:r>
    </w:p>
    <w:p w14:paraId="480ACB06" w14:textId="03213728" w:rsidR="004234F3" w:rsidRPr="00326A3A" w:rsidRDefault="004234F3" w:rsidP="009A34F7"/>
    <w:sectPr w:rsidR="004234F3" w:rsidRPr="00326A3A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14E6" w14:textId="77777777" w:rsidR="00F21F76" w:rsidRDefault="00F21F76" w:rsidP="006F183F">
      <w:pPr>
        <w:spacing w:after="0" w:line="240" w:lineRule="auto"/>
      </w:pPr>
      <w:r>
        <w:separator/>
      </w:r>
    </w:p>
  </w:endnote>
  <w:endnote w:type="continuationSeparator" w:id="0">
    <w:p w14:paraId="08261990" w14:textId="77777777" w:rsidR="00F21F76" w:rsidRDefault="00F21F76" w:rsidP="006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7729" w14:textId="705F4AC4" w:rsidR="00964DDD" w:rsidRDefault="00964DD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42BE7" wp14:editId="7C7CAF92">
          <wp:simplePos x="0" y="0"/>
          <wp:positionH relativeFrom="column">
            <wp:posOffset>5648325</wp:posOffset>
          </wp:positionH>
          <wp:positionV relativeFrom="paragraph">
            <wp:posOffset>-133350</wp:posOffset>
          </wp:positionV>
          <wp:extent cx="1057275" cy="597535"/>
          <wp:effectExtent l="0" t="0" r="0" b="0"/>
          <wp:wrapTight wrapText="bothSides">
            <wp:wrapPolygon edited="0">
              <wp:start x="5449" y="0"/>
              <wp:lineTo x="3114" y="12395"/>
              <wp:lineTo x="0" y="13773"/>
              <wp:lineTo x="0" y="17216"/>
              <wp:lineTo x="2335" y="19970"/>
              <wp:lineTo x="21016" y="19970"/>
              <wp:lineTo x="21016" y="17216"/>
              <wp:lineTo x="17903" y="13084"/>
              <wp:lineTo x="21016" y="11018"/>
              <wp:lineTo x="21016" y="1377"/>
              <wp:lineTo x="17903" y="0"/>
              <wp:lineTo x="5449" y="0"/>
            </wp:wrapPolygon>
          </wp:wrapTight>
          <wp:docPr id="200" name="Picture 20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Picture 200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FBD9" w14:textId="77777777" w:rsidR="00F21F76" w:rsidRDefault="00F21F76" w:rsidP="006F183F">
      <w:pPr>
        <w:spacing w:after="0" w:line="240" w:lineRule="auto"/>
      </w:pPr>
      <w:r>
        <w:separator/>
      </w:r>
    </w:p>
  </w:footnote>
  <w:footnote w:type="continuationSeparator" w:id="0">
    <w:p w14:paraId="730356CA" w14:textId="77777777" w:rsidR="00F21F76" w:rsidRDefault="00F21F76" w:rsidP="006F183F">
      <w:pPr>
        <w:spacing w:after="0" w:line="240" w:lineRule="auto"/>
      </w:pPr>
      <w:r>
        <w:continuationSeparator/>
      </w:r>
    </w:p>
  </w:footnote>
  <w:footnote w:id="1">
    <w:p w14:paraId="5058418A" w14:textId="5D108B0F" w:rsidR="006F183F" w:rsidRDefault="006F18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Theme="minorEastAsia" w:hAnsi="Calibri" w:cs="Calibri"/>
          <w:color w:val="373737"/>
          <w:kern w:val="24"/>
          <w:sz w:val="22"/>
          <w:szCs w:val="22"/>
        </w:rPr>
        <w:t>Chandler, D., &amp; Munday, R. (2016). </w:t>
      </w:r>
      <w:r>
        <w:rPr>
          <w:rFonts w:ascii="Calibri" w:eastAsiaTheme="minorEastAsia" w:hAnsi="Calibri" w:cs="Calibri"/>
          <w:i/>
          <w:iCs/>
          <w:color w:val="373737"/>
          <w:kern w:val="24"/>
          <w:sz w:val="22"/>
          <w:szCs w:val="22"/>
        </w:rPr>
        <w:t>Oxford: A dictionary of media and communication</w:t>
      </w:r>
      <w:r>
        <w:rPr>
          <w:rFonts w:ascii="Calibri" w:eastAsiaTheme="minorEastAsia" w:hAnsi="Calibri" w:cs="Calibri"/>
          <w:color w:val="373737"/>
          <w:kern w:val="24"/>
          <w:sz w:val="22"/>
          <w:szCs w:val="22"/>
        </w:rPr>
        <w:t> (2</w:t>
      </w:r>
      <w:r w:rsidRPr="009E6E98">
        <w:rPr>
          <w:rFonts w:ascii="Calibri" w:eastAsiaTheme="minorEastAsia" w:hAnsi="Calibri" w:cs="Calibri"/>
          <w:color w:val="373737"/>
          <w:kern w:val="24"/>
          <w:sz w:val="22"/>
          <w:szCs w:val="22"/>
          <w:vertAlign w:val="superscript"/>
        </w:rPr>
        <w:t>nd</w:t>
      </w:r>
      <w:r>
        <w:rPr>
          <w:rFonts w:ascii="Calibri" w:eastAsiaTheme="minorEastAsia" w:hAnsi="Calibri" w:cs="Calibri"/>
          <w:color w:val="373737"/>
          <w:kern w:val="24"/>
          <w:sz w:val="22"/>
          <w:szCs w:val="22"/>
        </w:rPr>
        <w:t xml:space="preserve"> ed.). New York, NY: Oxford University Press.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1C9"/>
    <w:multiLevelType w:val="hybridMultilevel"/>
    <w:tmpl w:val="2D0A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9A9"/>
    <w:multiLevelType w:val="hybridMultilevel"/>
    <w:tmpl w:val="8370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3A6"/>
    <w:multiLevelType w:val="hybridMultilevel"/>
    <w:tmpl w:val="CFDA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4A72"/>
    <w:multiLevelType w:val="hybridMultilevel"/>
    <w:tmpl w:val="B376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19D2"/>
    <w:multiLevelType w:val="hybridMultilevel"/>
    <w:tmpl w:val="51E06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94220"/>
    <w:multiLevelType w:val="hybridMultilevel"/>
    <w:tmpl w:val="3038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E13FB"/>
    <w:multiLevelType w:val="hybridMultilevel"/>
    <w:tmpl w:val="2BB6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60C4F"/>
    <w:multiLevelType w:val="hybridMultilevel"/>
    <w:tmpl w:val="AD90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1734">
    <w:abstractNumId w:val="7"/>
  </w:num>
  <w:num w:numId="2" w16cid:durableId="1472599252">
    <w:abstractNumId w:val="4"/>
  </w:num>
  <w:num w:numId="3" w16cid:durableId="1008798006">
    <w:abstractNumId w:val="2"/>
  </w:num>
  <w:num w:numId="4" w16cid:durableId="1092237662">
    <w:abstractNumId w:val="1"/>
  </w:num>
  <w:num w:numId="5" w16cid:durableId="1621381296">
    <w:abstractNumId w:val="3"/>
  </w:num>
  <w:num w:numId="6" w16cid:durableId="631517653">
    <w:abstractNumId w:val="6"/>
  </w:num>
  <w:num w:numId="7" w16cid:durableId="858858151">
    <w:abstractNumId w:val="0"/>
  </w:num>
  <w:num w:numId="8" w16cid:durableId="702753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41"/>
    <w:rsid w:val="00101841"/>
    <w:rsid w:val="00177E60"/>
    <w:rsid w:val="0018112F"/>
    <w:rsid w:val="001A174C"/>
    <w:rsid w:val="001A4F7F"/>
    <w:rsid w:val="00290137"/>
    <w:rsid w:val="00290A6B"/>
    <w:rsid w:val="00326A3A"/>
    <w:rsid w:val="003A0982"/>
    <w:rsid w:val="003D75CF"/>
    <w:rsid w:val="0040783D"/>
    <w:rsid w:val="004234F3"/>
    <w:rsid w:val="00427967"/>
    <w:rsid w:val="004C4157"/>
    <w:rsid w:val="004D687D"/>
    <w:rsid w:val="00584EF4"/>
    <w:rsid w:val="006F183F"/>
    <w:rsid w:val="007004E2"/>
    <w:rsid w:val="00760B23"/>
    <w:rsid w:val="00770791"/>
    <w:rsid w:val="007A430F"/>
    <w:rsid w:val="007D7D6E"/>
    <w:rsid w:val="008235E4"/>
    <w:rsid w:val="00964DDD"/>
    <w:rsid w:val="009A34F7"/>
    <w:rsid w:val="009B11D8"/>
    <w:rsid w:val="009E6E98"/>
    <w:rsid w:val="00AB6929"/>
    <w:rsid w:val="00AD18F4"/>
    <w:rsid w:val="00B57417"/>
    <w:rsid w:val="00BE3F6C"/>
    <w:rsid w:val="00C33D8D"/>
    <w:rsid w:val="00D63FC2"/>
    <w:rsid w:val="00E063C1"/>
    <w:rsid w:val="00E67983"/>
    <w:rsid w:val="00F21F76"/>
    <w:rsid w:val="294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F226"/>
  <w15:chartTrackingRefBased/>
  <w15:docId w15:val="{28AEC9CB-1C46-4276-83F2-1FFDD738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8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6A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18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8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18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4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DD"/>
  </w:style>
  <w:style w:type="paragraph" w:styleId="Footer">
    <w:name w:val="footer"/>
    <w:basedOn w:val="Normal"/>
    <w:link w:val="FooterChar"/>
    <w:uiPriority w:val="99"/>
    <w:unhideWhenUsed/>
    <w:rsid w:val="00964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DD"/>
  </w:style>
  <w:style w:type="character" w:customStyle="1" w:styleId="Heading1Char">
    <w:name w:val="Heading 1 Char"/>
    <w:basedOn w:val="DefaultParagraphFont"/>
    <w:link w:val="Heading1"/>
    <w:uiPriority w:val="9"/>
    <w:rsid w:val="0096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fccpartners.com/" TargetMode="External"/><Relationship Id="rId18" Type="http://schemas.openxmlformats.org/officeDocument/2006/relationships/hyperlink" Target="https://doi.org/10.17226/21794" TargetMode="External"/><Relationship Id="rId26" Type="http://schemas.openxmlformats.org/officeDocument/2006/relationships/hyperlink" Target="https://doi.org/10.31478/202002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S7Dj6IVnbj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pfcc.org/bestpractices/sustainable-partnerships/engaging/effective-pfacs.html" TargetMode="External"/><Relationship Id="rId17" Type="http://schemas.openxmlformats.org/officeDocument/2006/relationships/hyperlink" Target="https://www.improvediagnosis.org/processes/the-diagnostic-process/" TargetMode="External"/><Relationship Id="rId25" Type="http://schemas.openxmlformats.org/officeDocument/2006/relationships/hyperlink" Target="https://nap.nationalacademies.org/read/21794/chapter/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hub.ama-assn.org/steps-forward/module/2702594" TargetMode="External"/><Relationship Id="rId20" Type="http://schemas.openxmlformats.org/officeDocument/2006/relationships/hyperlink" Target="https://www.accme.org/tutorials/engaging-patient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pfroggroup.org/recognizing-excellence-diagnosis-recommended-practices-hospitals" TargetMode="External"/><Relationship Id="rId24" Type="http://schemas.openxmlformats.org/officeDocument/2006/relationships/hyperlink" Target="https://psnet.ahrq.gov/primer/diagnostic-erro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hub.ama-assn.org/steps-forward/module/2702594" TargetMode="External"/><Relationship Id="rId23" Type="http://schemas.openxmlformats.org/officeDocument/2006/relationships/hyperlink" Target="https://www.improvediagnosis.org/foundational-reading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mprovediagnosis.org/stori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fccpartners.com/" TargetMode="External"/><Relationship Id="rId22" Type="http://schemas.openxmlformats.org/officeDocument/2006/relationships/hyperlink" Target="https://www.improvediagnosis.org/pfac-guides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2EF62F818D148BCF1A94B6112FB83" ma:contentTypeVersion="27" ma:contentTypeDescription="Create a new document." ma:contentTypeScope="" ma:versionID="843ba0632cf82f144498a32d50381722">
  <xsd:schema xmlns:xsd="http://www.w3.org/2001/XMLSchema" xmlns:xs="http://www.w3.org/2001/XMLSchema" xmlns:p="http://schemas.microsoft.com/office/2006/metadata/properties" xmlns:ns1="http://schemas.microsoft.com/sharepoint/v3" xmlns:ns2="e1d969db-718a-40c6-8396-4fea838f6a4d" xmlns:ns3="f998b54f-7d26-4111-a549-1ce099eae984" xmlns:ns4="3204a55a-8e7e-4a65-9098-57eeffdfdecf" targetNamespace="http://schemas.microsoft.com/office/2006/metadata/properties" ma:root="true" ma:fieldsID="c918dc7a29b7e8ef5a677739fa8ab904" ns1:_="" ns2:_="" ns3:_="" ns4:_="">
    <xsd:import namespace="http://schemas.microsoft.com/sharepoint/v3"/>
    <xsd:import namespace="e1d969db-718a-40c6-8396-4fea838f6a4d"/>
    <xsd:import namespace="f998b54f-7d26-4111-a549-1ce099eae984"/>
    <xsd:import namespace="3204a55a-8e7e-4a65-9098-57eeffdfde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PhotoFolder" minOccurs="0"/>
                <xsd:element ref="ns4:PhotoLink" minOccurs="0"/>
                <xsd:element ref="ns2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69db-718a-40c6-8396-4fea838f6a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4271514-80d7-45f8-ad89-44ae522ff35a}" ma:internalName="TaxCatchAll" ma:showField="CatchAllData" ma:web="e1d969db-718a-40c6-8396-4fea838f6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b54f-7d26-4111-a549-1ce099eae984" elementFormDefault="qualified">
    <xsd:import namespace="http://schemas.microsoft.com/office/2006/documentManagement/types"/>
    <xsd:import namespace="http://schemas.microsoft.com/office/infopath/2007/PartnerControls"/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4a55a-8e7e-4a65-9098-57eeffdf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PhotoFolder" ma:index="25" nillable="true" ma:displayName="Folder Name" ma:format="Dropdown" ma:internalName="PhotoFolder">
      <xsd:simpleType>
        <xsd:restriction base="dms:Text">
          <xsd:maxLength value="255"/>
        </xsd:restriction>
      </xsd:simpleType>
    </xsd:element>
    <xsd:element name="PhotoLink" ma:index="26" nillable="true" ma:displayName="Photo Link" ma:format="Hyperlink" ma:internalName="Photo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fec023e-95bf-4122-999b-80b5f5ab6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hotoLink xmlns="3204a55a-8e7e-4a65-9098-57eeffdfdecf">
      <Url xsi:nil="true"/>
      <Description xsi:nil="true"/>
    </PhotoLink>
    <PhotoFolder xmlns="3204a55a-8e7e-4a65-9098-57eeffdfdecf" xsi:nil="true"/>
    <_ip_UnifiedCompliancePolicyProperties xmlns="http://schemas.microsoft.com/sharepoint/v3" xsi:nil="true"/>
    <TaxCatchAll xmlns="e1d969db-718a-40c6-8396-4fea838f6a4d" xsi:nil="true"/>
    <lcf76f155ced4ddcb4097134ff3c332f xmlns="3204a55a-8e7e-4a65-9098-57eeffdfd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69938D-64E4-4647-9748-6F7A62F89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969db-718a-40c6-8396-4fea838f6a4d"/>
    <ds:schemaRef ds:uri="f998b54f-7d26-4111-a549-1ce099eae984"/>
    <ds:schemaRef ds:uri="3204a55a-8e7e-4a65-9098-57eeffdf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E659B-CA18-4595-947A-3DEDC08349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4F0557-AAE1-457D-81C3-56D8A8B03A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0BF7C-978A-48A7-B279-00825B354D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04a55a-8e7e-4a65-9098-57eeffdfdecf"/>
    <ds:schemaRef ds:uri="e1d969db-718a-40c6-8396-4fea838f6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821</Words>
  <Characters>4413</Characters>
  <Application>Microsoft Office Word</Application>
  <DocSecurity>0</DocSecurity>
  <Lines>77</Lines>
  <Paragraphs>19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Castro</dc:creator>
  <cp:keywords/>
  <dc:description/>
  <cp:lastModifiedBy>Leah Kaufman</cp:lastModifiedBy>
  <cp:revision>5</cp:revision>
  <dcterms:created xsi:type="dcterms:W3CDTF">2022-11-03T17:27:00Z</dcterms:created>
  <dcterms:modified xsi:type="dcterms:W3CDTF">2022-11-04T02:53:00Z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0x010100B972EF62F818D148BCF1A94B6112FB83</vt:lpwstr>
  </property>
  <property fmtid="{D5CDD505-2E9C-101B-9397-08002B2CF9AE}" pid="3" name="MediaServiceImageTags">
    <vt:lpwstr/>
  </property>
</Properties>
</file>